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竞争性磋商文件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left="2883" w:hanging="1606"/>
        <w:spacing w:line="480" w:lineRule="auto"/>
        <w:rPr>
          <w:rFonts w:hint="eastAsia"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t xml:space="preserve">项目名称：</w:t>
      </w:r>
      <w:r>
        <w:rPr>
          <w:rFonts w:hint="eastAsia" w:ascii="Arial" w:hAnsi="Arial" w:eastAsia="宋体" w:cs="Times New Roman"/>
          <w:b/>
          <w:bCs/>
          <w:color w:val="auto"/>
          <w:sz w:val="32"/>
          <w:szCs w:val="24"/>
          <w:highlight w:val="none"/>
          <w:lang w:eastAsia="zh-CN"/>
        </w:rPr>
        <w:t xml:space="preserve">连云港市“十五五”矿产资源规划编制项目</w:t>
      </w:r>
      <w:r/>
    </w:p>
    <w:p>
      <w:pPr>
        <w:ind w:firstLine="1285"/>
        <w:spacing w:line="48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rPr>
        <w:t xml:space="preserve">项目编号：</w:t>
      </w:r>
      <w:r>
        <w:rPr>
          <w:rFonts w:hint="eastAsia" w:ascii="Arial" w:hAnsi="Arial" w:eastAsia="宋体" w:cs="Times New Roman"/>
          <w:b/>
          <w:bCs/>
          <w:color w:val="auto"/>
          <w:sz w:val="32"/>
          <w:szCs w:val="24"/>
          <w:highlight w:val="none"/>
          <w:lang w:eastAsia="zh-CN"/>
        </w:rPr>
        <w:t xml:space="preserve">JSZC-320700-ZQHJ-C2025-0064</w:t>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left"/>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left"/>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ind w:firstLine="1221"/>
        <w:rPr>
          <w:rFonts w:hint="eastAsia" w:ascii="宋体" w:hAnsi="宋体" w:eastAsiaTheme="minorEastAsia"/>
          <w:b/>
          <w:bCs/>
          <w:color w:val="auto"/>
          <w:sz w:val="32"/>
          <w:szCs w:val="32"/>
          <w:highlight w:val="none"/>
          <w:lang w:eastAsia="zh-CN"/>
        </w:rPr>
      </w:pPr>
      <w:r>
        <w:rPr>
          <w:rFonts w:hint="eastAsia" w:ascii="宋体" w:hAnsi="宋体"/>
          <w:b/>
          <w:bCs/>
          <w:color w:val="auto"/>
          <w:sz w:val="32"/>
          <w:szCs w:val="32"/>
          <w:highlight w:val="none"/>
        </w:rPr>
        <w:t xml:space="preserve">采   购   人：</w:t>
      </w:r>
      <w:r>
        <w:rPr>
          <w:rFonts w:hint="eastAsia" w:ascii="宋体" w:hAnsi="宋体"/>
          <w:b/>
          <w:bCs/>
          <w:color w:val="auto"/>
          <w:sz w:val="32"/>
          <w:szCs w:val="32"/>
          <w:highlight w:val="none"/>
          <w:lang w:eastAsia="zh-CN"/>
        </w:rPr>
        <w:t xml:space="preserve">连云港市自然资源和规划局</w:t>
      </w:r>
      <w:r/>
    </w:p>
    <w:p>
      <w:pPr>
        <w:ind w:firstLine="1221"/>
        <w:spacing w:before="120" w:after="120" w:line="360" w:lineRule="auto"/>
        <w:rPr>
          <w:rFonts w:hint="eastAsia" w:ascii="Arial" w:hAnsi="Arial" w:eastAsiaTheme="minorEastAsia"/>
          <w:b/>
          <w:bCs/>
          <w:color w:val="auto"/>
          <w:sz w:val="32"/>
          <w:highlight w:val="none"/>
          <w:lang w:eastAsia="zh-CN"/>
        </w:rPr>
      </w:pPr>
      <w:r>
        <w:rPr>
          <w:rFonts w:hint="eastAsia" w:ascii="宋体" w:hAnsi="宋体"/>
          <w:b/>
          <w:color w:val="auto"/>
          <w:sz w:val="32"/>
          <w:szCs w:val="32"/>
          <w:highlight w:val="none"/>
        </w:rPr>
        <w:t xml:space="preserve">采购代理机构：</w:t>
      </w:r>
      <w:r>
        <w:rPr>
          <w:rFonts w:hint="eastAsia" w:ascii="Arial" w:hAnsi="Arial"/>
          <w:b/>
          <w:bCs/>
          <w:color w:val="auto"/>
          <w:sz w:val="32"/>
          <w:highlight w:val="none"/>
          <w:lang w:eastAsia="zh-CN"/>
        </w:rPr>
        <w:t xml:space="preserve">中企华建友工程管理有限公司</w:t>
      </w:r>
      <w:r/>
    </w:p>
    <w:p>
      <w:pPr>
        <w:jc w:val="center"/>
        <w:spacing w:before="120" w:after="120" w:line="360" w:lineRule="auto"/>
        <w:widowControl/>
        <w:rPr>
          <w:rFonts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t xml:space="preserve">2025年</w:t>
      </w:r>
      <w:r>
        <w:rPr>
          <w:rFonts w:hint="eastAsia" w:ascii="Arial" w:hAnsi="Arial" w:eastAsia="宋体" w:cs="Times New Roman"/>
          <w:b/>
          <w:bCs/>
          <w:color w:val="auto"/>
          <w:sz w:val="32"/>
          <w:szCs w:val="24"/>
          <w:highlight w:val="none"/>
          <w:lang w:val="en-US" w:eastAsia="zh-CN"/>
        </w:rPr>
        <w:t xml:space="preserve">11</w:t>
      </w:r>
      <w:r>
        <w:rPr>
          <w:rFonts w:hint="eastAsia" w:ascii="Arial" w:hAnsi="Arial" w:eastAsia="宋体" w:cs="Times New Roman"/>
          <w:b/>
          <w:bCs/>
          <w:color w:val="auto"/>
          <w:sz w:val="32"/>
          <w:szCs w:val="24"/>
          <w:highlight w:val="none"/>
        </w:rPr>
        <w:t xml:space="preserve">月</w:t>
      </w:r>
      <w:r>
        <w:rPr>
          <w:rFonts w:hint="eastAsia" w:ascii="Arial" w:hAnsi="Arial" w:eastAsia="宋体" w:cs="Times New Roman"/>
          <w:b/>
          <w:bCs/>
          <w:color w:val="auto"/>
          <w:sz w:val="32"/>
          <w:szCs w:val="24"/>
          <w:highlight w:val="none"/>
        </w:rPr>
        <w:br w:type="page" w:clear="all"/>
      </w:r>
      <w:r/>
    </w:p>
    <w:p>
      <w:pPr>
        <w:jc w:val="center"/>
        <w:spacing w:before="120" w:after="120" w:line="360" w:lineRule="auto"/>
        <w:widowControl/>
        <w:rPr>
          <w:color w:val="auto"/>
          <w:highlight w:val="none"/>
        </w:rPr>
      </w:pPr>
      <w:r>
        <w:rPr>
          <w:rFonts w:hint="eastAsia" w:ascii="黑体" w:hAnsi="黑体" w:eastAsia="黑体" w:cs="黑体"/>
          <w:b/>
          <w:bCs/>
          <w:color w:val="auto"/>
          <w:sz w:val="36"/>
          <w:szCs w:val="28"/>
          <w:highlight w:val="none"/>
        </w:rPr>
        <w:t xml:space="preserve">目  录</w:t>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717"/>
        <w:tabs>
          <w:tab w:val="clear" w:pos="8296" w:leader="none"/>
          <w:tab w:val="right" w:pos="9746" w:leader="dot"/>
        </w:tabs>
        <w:rPr>
          <w:color w:val="auto"/>
          <w:highlight w:val="none"/>
        </w:rPr>
      </w:pPr>
      <w:r>
        <w:rPr>
          <w:rFonts w:hint="eastAsia"/>
          <w:color w:val="auto"/>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_Toc16090 \h </w:instrText>
      </w:r>
      <w:r>
        <w:rPr>
          <w:color w:val="auto"/>
          <w:highlight w:val="none"/>
        </w:rPr>
        <w:fldChar w:fldCharType="separate"/>
      </w:r>
      <w:r>
        <w:rPr>
          <w:color w:val="auto"/>
          <w:highlight w:val="none"/>
        </w:rPr>
        <w:t xml:space="preserve">3</w:t>
      </w:r>
      <w:r>
        <w:rPr>
          <w:color w:val="auto"/>
          <w:highlight w:val="none"/>
        </w:rPr>
        <w:fldChar w:fldCharType="end"/>
      </w:r>
      <w:r/>
    </w:p>
    <w:p>
      <w:pPr>
        <w:pStyle w:val="717"/>
        <w:tabs>
          <w:tab w:val="clear" w:pos="8296" w:leader="none"/>
          <w:tab w:val="right" w:pos="9746" w:leader="dot"/>
        </w:tabs>
        <w:rPr>
          <w:color w:val="auto"/>
          <w:highlight w:val="none"/>
        </w:rPr>
      </w:pPr>
      <w:r>
        <w:rPr>
          <w:rFonts w:hint="eastAsia"/>
          <w:color w:val="auto"/>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_Toc27698 \h </w:instrText>
      </w:r>
      <w:r>
        <w:rPr>
          <w:color w:val="auto"/>
          <w:highlight w:val="none"/>
        </w:rPr>
        <w:fldChar w:fldCharType="separate"/>
      </w:r>
      <w:r>
        <w:rPr>
          <w:color w:val="auto"/>
          <w:highlight w:val="none"/>
        </w:rPr>
        <w:t xml:space="preserve">7</w:t>
      </w:r>
      <w:r>
        <w:rPr>
          <w:color w:val="auto"/>
          <w:highlight w:val="none"/>
        </w:rPr>
        <w:fldChar w:fldCharType="end"/>
      </w:r>
      <w:r/>
    </w:p>
    <w:p>
      <w:pPr>
        <w:pStyle w:val="717"/>
        <w:tabs>
          <w:tab w:val="clear" w:pos="8296" w:leader="none"/>
          <w:tab w:val="right" w:pos="9746" w:leader="dot"/>
        </w:tabs>
        <w:rPr>
          <w:color w:val="auto"/>
          <w:highlight w:val="none"/>
        </w:rPr>
      </w:pPr>
      <w:r>
        <w:rPr>
          <w:rFonts w:hint="eastAsia"/>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_Toc25859 \h </w:instrText>
      </w:r>
      <w:r>
        <w:rPr>
          <w:color w:val="auto"/>
          <w:highlight w:val="none"/>
        </w:rPr>
        <w:fldChar w:fldCharType="separate"/>
      </w:r>
      <w:r>
        <w:rPr>
          <w:color w:val="auto"/>
          <w:highlight w:val="none"/>
        </w:rPr>
        <w:t xml:space="preserve">23</w:t>
      </w:r>
      <w:r>
        <w:rPr>
          <w:color w:val="auto"/>
          <w:highlight w:val="none"/>
        </w:rPr>
        <w:fldChar w:fldCharType="end"/>
      </w:r>
      <w:r/>
    </w:p>
    <w:p>
      <w:pPr>
        <w:pStyle w:val="717"/>
        <w:tabs>
          <w:tab w:val="clear" w:pos="8296" w:leader="none"/>
          <w:tab w:val="right" w:pos="9746" w:leader="dot"/>
        </w:tabs>
        <w:rPr>
          <w:color w:val="auto"/>
          <w:highlight w:val="none"/>
        </w:rPr>
      </w:pPr>
      <w:r>
        <w:rPr>
          <w:rFonts w:hint="eastAsia"/>
          <w:color w:val="auto"/>
          <w:szCs w:val="44"/>
          <w:highlight w:val="none"/>
        </w:rPr>
        <w:t xml:space="preserve">第四章</w:t>
      </w:r>
      <w:r>
        <w:rPr>
          <w:rFonts w:hint="eastAsia"/>
          <w:color w:val="auto"/>
          <w:highlight w:val="none"/>
        </w:rPr>
        <w:t xml:space="preserve">  </w:t>
      </w:r>
      <w:r>
        <w:rPr>
          <w:rFonts w:hint="eastAsia" w:cs="Times New Roman"/>
          <w:color w:val="auto"/>
          <w:szCs w:val="44"/>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_Toc3829 \h </w:instrText>
      </w:r>
      <w:r>
        <w:rPr>
          <w:color w:val="auto"/>
          <w:highlight w:val="none"/>
        </w:rPr>
        <w:fldChar w:fldCharType="separate"/>
      </w:r>
      <w:r>
        <w:rPr>
          <w:color w:val="auto"/>
          <w:highlight w:val="none"/>
        </w:rPr>
        <w:t xml:space="preserve">28</w:t>
      </w:r>
      <w:r>
        <w:rPr>
          <w:color w:val="auto"/>
          <w:highlight w:val="none"/>
        </w:rPr>
        <w:fldChar w:fldCharType="end"/>
      </w:r>
      <w:r/>
    </w:p>
    <w:p>
      <w:pPr>
        <w:pStyle w:val="717"/>
        <w:tabs>
          <w:tab w:val="clear" w:pos="8296" w:leader="none"/>
          <w:tab w:val="right" w:pos="9746" w:leader="dot"/>
        </w:tabs>
        <w:rPr>
          <w:color w:val="auto"/>
          <w:highlight w:val="none"/>
        </w:rPr>
      </w:pPr>
      <w:r>
        <w:rPr>
          <w:rFonts w:hint="eastAsia" w:cs="Times New Roman"/>
          <w:color w:val="auto"/>
          <w:szCs w:val="44"/>
          <w:highlight w:val="none"/>
        </w:rPr>
        <w:t xml:space="preserve">第五章  评审方法和评审标准</w:t>
      </w:r>
      <w:r>
        <w:rPr>
          <w:color w:val="auto"/>
          <w:highlight w:val="none"/>
        </w:rPr>
        <w:tab/>
      </w:r>
      <w:r>
        <w:rPr>
          <w:color w:val="auto"/>
          <w:highlight w:val="none"/>
        </w:rPr>
        <w:t xml:space="preserve">33</w:t>
      </w:r>
      <w:r/>
    </w:p>
    <w:p>
      <w:pPr>
        <w:pStyle w:val="717"/>
        <w:tabs>
          <w:tab w:val="clear" w:pos="8296" w:leader="none"/>
          <w:tab w:val="right" w:pos="9746" w:leader="dot"/>
        </w:tabs>
        <w:rPr>
          <w:color w:val="auto"/>
          <w:highlight w:val="none"/>
        </w:rPr>
      </w:pPr>
      <w:r>
        <w:rPr>
          <w:rFonts w:hint="eastAsia"/>
          <w:color w:val="auto"/>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_Toc8976 \h </w:instrText>
      </w:r>
      <w:r>
        <w:rPr>
          <w:color w:val="auto"/>
          <w:highlight w:val="none"/>
        </w:rPr>
        <w:fldChar w:fldCharType="separate"/>
      </w:r>
      <w:r>
        <w:rPr>
          <w:color w:val="auto"/>
          <w:highlight w:val="none"/>
        </w:rPr>
        <w:t xml:space="preserve">34</w:t>
      </w:r>
      <w:r>
        <w:rPr>
          <w:color w:val="auto"/>
          <w:highlight w:val="none"/>
        </w:rPr>
        <w:fldChar w:fldCharType="end"/>
      </w:r>
      <w:r/>
    </w:p>
    <w:p>
      <w:pPr>
        <w:jc w:val="center"/>
        <w:spacing w:before="120" w:after="120" w:line="360" w:lineRule="auto"/>
        <w:widowControl/>
        <w:rPr>
          <w:color w:val="auto"/>
          <w:highlight w:val="none"/>
        </w:rPr>
      </w:pPr>
      <w:r>
        <w:rPr>
          <w:color w:val="auto"/>
          <w:highlight w:val="none"/>
        </w:rPr>
        <w:fldChar w:fldCharType="end"/>
      </w:r>
      <w:r>
        <w:rPr>
          <w:color w:val="auto"/>
          <w:highlight w:val="none"/>
        </w:rPr>
        <w:br w:type="page" w:clear="all"/>
      </w:r>
      <w:r/>
    </w:p>
    <w:p>
      <w:pPr>
        <w:pStyle w:val="689"/>
        <w:jc w:val="center"/>
        <w:spacing w:before="156" w:after="156" w:line="360" w:lineRule="auto"/>
        <w:rPr>
          <w:rFonts w:ascii="黑体" w:hAnsi="黑体" w:eastAsia="黑体"/>
          <w:b w:val="0"/>
          <w:color w:val="auto"/>
          <w:highlight w:val="none"/>
        </w:rPr>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Pr>
          <w:rFonts w:ascii="黑体" w:hAnsi="黑体" w:eastAsia="黑体"/>
          <w:b w:val="0"/>
          <w:color w:val="auto"/>
          <w:highlight w:val="none"/>
        </w:rPr>
      </w:r>
      <w:r/>
    </w:p>
    <w:p>
      <w:pPr>
        <w:pStyle w:val="689"/>
        <w:jc w:val="center"/>
        <w:spacing w:before="156" w:after="156" w:line="360" w:lineRule="auto"/>
        <w:rPr>
          <w:rFonts w:ascii="黑体" w:hAnsi="黑体" w:eastAsia="黑体"/>
          <w:b w:val="0"/>
          <w:color w:val="auto"/>
          <w:highlight w:val="none"/>
        </w:rPr>
      </w:pPr>
      <w:r/>
      <w:bookmarkStart w:id="0" w:name="_Toc5112"/>
      <w:r/>
      <w:bookmarkStart w:id="1" w:name="_Toc16090"/>
      <w:r>
        <w:rPr>
          <w:rFonts w:hint="eastAsia" w:ascii="黑体" w:hAnsi="黑体" w:eastAsia="黑体"/>
          <w:b w:val="0"/>
          <w:color w:val="auto"/>
          <w:highlight w:val="none"/>
        </w:rPr>
        <w:t xml:space="preserve">第一章  磋商邀请</w:t>
      </w:r>
      <w:bookmarkEnd w:id="0"/>
      <w:r/>
      <w:bookmarkEnd w:id="1"/>
      <w:r/>
      <w:r/>
    </w:p>
    <w:p>
      <w:pPr>
        <w:ind w:firstLine="480"/>
        <w:jc w:val="left"/>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连云港市自然资源和规划局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中企华建友工程管理有限公司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连云港市“十五五”矿产资源规划编制项目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JSZC-320700-ZQHJ-C2025-0064</w:t>
      </w:r>
      <w:r>
        <w:rPr>
          <w:rFonts w:hint="eastAsia" w:ascii="宋体" w:hAnsi="宋体" w:eastAsia="宋体" w:cs="宋体"/>
          <w:color w:val="auto"/>
          <w:sz w:val="24"/>
          <w:szCs w:val="24"/>
          <w:highlight w:val="none"/>
        </w:rPr>
        <w:t xml:space="preserve">）进行竞争性磋商采购，欢迎符合条件的供应商参加磋商</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0"/>
      </w:tblGrid>
      <w:tr>
        <w:trPr>
          <w:trHeight w:val="1695"/>
        </w:trPr>
        <w:tc>
          <w:tcPr>
            <w:tcW w:w="9750" w:type="dxa"/>
            <w:textDirection w:val="lrTb"/>
            <w:noWrap w:val="false"/>
          </w:tcPr>
          <w:p>
            <w:pPr>
              <w:jc w:val="left"/>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jc w:val="left"/>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连云港市“十五五”矿产资源规划编制项目</w:t>
            </w:r>
            <w:r>
              <w:rPr>
                <w:rFonts w:hint="eastAsia" w:ascii="宋体" w:hAnsi="宋体" w:eastAsia="宋体" w:cs="宋体"/>
                <w:color w:val="auto"/>
                <w:sz w:val="24"/>
                <w:szCs w:val="24"/>
                <w:highlight w:val="none"/>
              </w:rPr>
              <w:t xml:space="preserve">采购项目的潜在供应商应在江苏政府采购网自行免费下载采购文件，并于</w:t>
            </w:r>
            <w:r>
              <w:rPr>
                <w:rFonts w:hint="eastAsia" w:ascii="宋体" w:hAnsi="宋体" w:eastAsia="宋体" w:cs="宋体"/>
                <w:color w:val="auto"/>
                <w:sz w:val="24"/>
                <w:szCs w:val="24"/>
                <w:highlight w:val="none"/>
                <w:u w:val="single"/>
              </w:rPr>
              <w:t xml:space="preserve">2025年</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rPr>
              <w:t xml:space="preserve">（北京时间）前提交（上传）响应文件。</w:t>
            </w:r>
            <w:r/>
          </w:p>
        </w:tc>
      </w:tr>
    </w:tbl>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spacing w:line="500" w:lineRule="exact"/>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JSZC-320700-ZQHJ-C2025-0064</w:t>
      </w:r>
      <w:r>
        <w:rPr>
          <w:rFonts w:hint="eastAsia"/>
          <w:color w:val="auto"/>
          <w:sz w:val="24"/>
          <w:szCs w:val="24"/>
          <w:highlight w:val="none"/>
        </w:rPr>
        <w:t xml:space="preserve"> </w:t>
      </w:r>
      <w:r/>
    </w:p>
    <w:p>
      <w:pPr>
        <w:ind w:firstLine="480"/>
        <w:jc w:val="left"/>
        <w:spacing w:line="500" w:lineRule="exact"/>
        <w:rPr>
          <w:rFonts w:hint="eastAsia" w:eastAsiaTheme="minorEastAsia"/>
          <w:color w:val="auto"/>
          <w:sz w:val="24"/>
          <w:szCs w:val="24"/>
          <w:highlight w:val="none"/>
        </w:rPr>
      </w:pPr>
      <w:r>
        <w:rPr>
          <w:rFonts w:hint="eastAsia"/>
          <w:color w:val="auto"/>
          <w:sz w:val="24"/>
          <w:szCs w:val="24"/>
          <w:highlight w:val="none"/>
        </w:rPr>
        <w:t xml:space="preserve">项目名称：</w:t>
      </w:r>
      <w:r>
        <w:rPr>
          <w:rFonts w:hint="eastAsia"/>
          <w:color w:val="auto"/>
          <w:sz w:val="24"/>
          <w:szCs w:val="24"/>
          <w:highlight w:val="none"/>
          <w:lang w:eastAsia="zh-CN"/>
        </w:rPr>
        <w:t xml:space="preserve">连云港市“十五五”矿产资源规划编制项目</w:t>
      </w:r>
      <w:r/>
    </w:p>
    <w:p>
      <w:pPr>
        <w:ind w:firstLine="480"/>
        <w:jc w:val="left"/>
        <w:spacing w:line="500" w:lineRule="exact"/>
        <w:rPr>
          <w:color w:val="auto"/>
          <w:sz w:val="24"/>
          <w:szCs w:val="24"/>
          <w:highlight w:val="none"/>
        </w:rPr>
      </w:pPr>
      <w:r>
        <w:rPr>
          <w:rFonts w:hint="eastAsia"/>
          <w:color w:val="auto"/>
          <w:sz w:val="24"/>
          <w:szCs w:val="24"/>
          <w:highlight w:val="none"/>
        </w:rPr>
        <w:t xml:space="preserve">预算金额</w:t>
      </w:r>
      <w:r>
        <w:rPr>
          <w:rFonts w:hint="eastAsia" w:ascii="宋体" w:hAnsi="宋体" w:cs="Times New Roman"/>
          <w:color w:val="auto"/>
          <w:sz w:val="24"/>
          <w:szCs w:val="28"/>
          <w:highlight w:val="none"/>
        </w:rPr>
        <w:t xml:space="preserve">：</w:t>
      </w:r>
      <w:r>
        <w:rPr>
          <w:rFonts w:ascii="宋体" w:hAnsi="宋体" w:eastAsia="宋体" w:cs="Times New Roman"/>
          <w:color w:val="auto"/>
          <w:sz w:val="24"/>
          <w:szCs w:val="28"/>
          <w:highlight w:val="none"/>
        </w:rPr>
        <w:t xml:space="preserve">80</w:t>
      </w:r>
      <w:r>
        <w:rPr>
          <w:rFonts w:hint="eastAsia" w:ascii="宋体" w:hAnsi="宋体" w:cs="Times New Roman"/>
          <w:color w:val="auto"/>
          <w:sz w:val="24"/>
          <w:szCs w:val="28"/>
          <w:highlight w:val="none"/>
        </w:rPr>
        <w:t xml:space="preserve">万元，报价超出预算金额的按无效响应处理。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采购方式：竞争性磋商</w:t>
      </w:r>
      <w:r/>
    </w:p>
    <w:p>
      <w:pPr>
        <w:ind w:firstLine="480"/>
        <w:spacing w:line="560" w:lineRule="exact"/>
        <w:rPr>
          <w:color w:val="auto"/>
          <w:sz w:val="24"/>
          <w:szCs w:val="24"/>
          <w:highlight w:val="none"/>
        </w:rPr>
      </w:pPr>
      <w:r>
        <w:rPr>
          <w:rFonts w:hint="eastAsia"/>
          <w:color w:val="auto"/>
          <w:sz w:val="24"/>
          <w:szCs w:val="24"/>
          <w:highlight w:val="none"/>
        </w:rPr>
        <w:t xml:space="preserve">采购需求：根据《江苏省自然资源厅关于做好“十五五”市县级矿产资源规划编制前期工作的函》《江苏省自然资源厅关于转发&lt;自然资源部办公厅关于开展“十四五”矿产资源规划总结评估及“十五五”规划编制工作的通知&gt;的通知》要求，开展连云港市“十五五”矿产资源规划编制工作。项目主要内容:一是开展重大专题研究;二是开展规划编制工作;三是开展规划环境影响评价;四是开展矿产资源规划数据库建设</w:t>
      </w:r>
      <w:r>
        <w:rPr>
          <w:rFonts w:hint="eastAsia" w:ascii="宋体" w:hAnsi="宋体" w:cs="Times New Roman"/>
          <w:color w:val="auto"/>
          <w:sz w:val="24"/>
          <w:szCs w:val="28"/>
          <w:highlight w:val="none"/>
        </w:rPr>
        <w:t xml:space="preserve">，具体详见磋商文件项目需求。</w:t>
      </w:r>
      <w:r/>
    </w:p>
    <w:p>
      <w:pPr>
        <w:ind w:firstLine="482"/>
        <w:jc w:val="left"/>
        <w:spacing w:line="500" w:lineRule="exact"/>
        <w:rPr>
          <w:b/>
          <w:color w:val="auto"/>
          <w:sz w:val="24"/>
          <w:szCs w:val="24"/>
          <w:highlight w:val="none"/>
        </w:rPr>
      </w:pPr>
      <w:r>
        <w:rPr>
          <w:rFonts w:hint="eastAsia"/>
          <w:b/>
          <w:color w:val="auto"/>
          <w:sz w:val="24"/>
          <w:szCs w:val="24"/>
          <w:highlight w:val="none"/>
        </w:rPr>
        <w:t xml:space="preserve">对本项目资格要求、采购需求、评审方法与评审标准等部分的询问、质疑请与采购人联系，由采购人负责答复。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合同履行期限：</w:t>
      </w:r>
      <w:r>
        <w:rPr>
          <w:rFonts w:hint="eastAsia"/>
          <w:color w:val="auto"/>
          <w:sz w:val="24"/>
          <w:szCs w:val="24"/>
          <w:highlight w:val="none"/>
        </w:rPr>
        <w:t xml:space="preserve">自合同签订之日起至2026年12月31日</w:t>
      </w:r>
      <w:r>
        <w:rPr>
          <w:rFonts w:hint="eastAsia" w:ascii="宋体" w:hAnsi="宋体" w:eastAsia="宋体" w:cs="宋体"/>
          <w:color w:val="auto"/>
          <w:sz w:val="24"/>
          <w:szCs w:val="28"/>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本项目（是/否）接受联合体投标：</w:t>
      </w:r>
      <w:r>
        <w:rPr>
          <w:rFonts w:hint="eastAsia" w:eastAsia="宋体"/>
          <w:color w:val="auto"/>
          <w:sz w:val="24"/>
          <w:szCs w:val="24"/>
          <w:highlight w:val="none"/>
        </w:rPr>
        <w:t xml:space="preserve">不接受</w:t>
      </w:r>
      <w:r>
        <w:rPr>
          <w:color w:val="auto"/>
          <w:sz w:val="24"/>
          <w:szCs w:val="24"/>
          <w:highlight w:val="none"/>
        </w:rPr>
        <w:t xml:space="preserve">联合体</w:t>
      </w:r>
      <w:r>
        <w:rPr>
          <w:rFonts w:hint="eastAsia"/>
          <w:color w:val="auto"/>
          <w:sz w:val="24"/>
          <w:szCs w:val="24"/>
          <w:highlight w:val="none"/>
        </w:rPr>
        <w:t xml:space="preserve">。</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2.上一年度的财务状况报告；（成立不满一年无需提供）</w:t>
      </w:r>
      <w:r/>
    </w:p>
    <w:p>
      <w:pPr>
        <w:ind w:firstLine="480"/>
        <w:jc w:val="left"/>
        <w:spacing w:line="500" w:lineRule="exact"/>
        <w:rPr>
          <w:color w:val="auto"/>
          <w:sz w:val="24"/>
          <w:szCs w:val="24"/>
          <w:highlight w:val="none"/>
        </w:rPr>
      </w:pPr>
      <w:r>
        <w:rPr>
          <w:rFonts w:hint="eastAsia"/>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00" w:lineRule="exact"/>
        <w:rPr>
          <w:color w:val="auto"/>
          <w:sz w:val="24"/>
          <w:szCs w:val="24"/>
          <w:highlight w:val="none"/>
        </w:rPr>
      </w:pPr>
      <w:r>
        <w:rPr>
          <w:rFonts w:hint="eastAsia"/>
          <w:b/>
          <w:bCs/>
          <w:color w:val="auto"/>
          <w:sz w:val="24"/>
          <w:szCs w:val="24"/>
          <w:highlight w:val="none"/>
        </w:rPr>
        <w:t xml:space="preserve">（根据连财购〔2023〕4号文件精神，2、3项可以提供《财务状况报告及税收、社会保障资金缴纳情况承诺函》，详见响应文件格式）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spacing w:line="500" w:lineRule="exact"/>
        <w:rPr>
          <w:color w:val="auto"/>
          <w:sz w:val="24"/>
          <w:szCs w:val="24"/>
          <w:highlight w:val="none"/>
        </w:rPr>
      </w:pPr>
      <w:r>
        <w:rPr>
          <w:rFonts w:hint="eastAsia"/>
          <w:color w:val="auto"/>
          <w:sz w:val="24"/>
          <w:szCs w:val="24"/>
          <w:highlight w:val="none"/>
        </w:rPr>
        <w:t xml:space="preserve">6.法律、行政法规规定的其他条件；（如有，请按要求提供）</w:t>
      </w:r>
      <w:r/>
    </w:p>
    <w:p>
      <w:pPr>
        <w:ind w:firstLine="480"/>
        <w:jc w:val="left"/>
        <w:spacing w:line="500" w:lineRule="exact"/>
        <w:rPr>
          <w:color w:val="auto"/>
          <w:sz w:val="24"/>
          <w:szCs w:val="24"/>
          <w:highlight w:val="none"/>
        </w:rPr>
      </w:pPr>
      <w:r>
        <w:rPr>
          <w:rFonts w:hint="eastAsia"/>
          <w:color w:val="auto"/>
          <w:sz w:val="24"/>
          <w:szCs w:val="24"/>
          <w:highlight w:val="none"/>
        </w:rPr>
        <w:t xml:space="preserve">7.</w:t>
      </w:r>
      <w:r>
        <w:rPr>
          <w:rFonts w:hint="eastAsia" w:ascii="Calibri" w:hAnsi="Calibri" w:eastAsia="宋体" w:cs="Times New Roman"/>
          <w:color w:val="auto"/>
          <w:sz w:val="24"/>
          <w:szCs w:val="24"/>
          <w:highlight w:val="none"/>
        </w:rPr>
        <w:t xml:space="preserve">资格审查现场查询信用中国、中国政府采购网</w:t>
      </w:r>
      <w:r>
        <w:rPr>
          <w:rFonts w:hint="eastAsia"/>
          <w:color w:val="auto"/>
          <w:sz w:val="24"/>
          <w:szCs w:val="24"/>
          <w:highlight w:val="none"/>
        </w:rPr>
        <w:t xml:space="preserve">，供应商被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（响应文件中无需提供证明材料）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（二）落实政府采购政策需满足的资格要求：</w:t>
      </w:r>
      <w:r>
        <w:rPr>
          <w:rFonts w:hint="eastAsia" w:ascii="宋体" w:hAnsi="宋体" w:eastAsia="宋体" w:cs="Times New Roman"/>
          <w:color w:val="auto"/>
          <w:sz w:val="24"/>
          <w:szCs w:val="28"/>
          <w:highlight w:val="none"/>
        </w:rPr>
        <w:t xml:space="preserve">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rPr>
          <w:rFonts w:hint="eastAsia"/>
          <w:color w:val="auto"/>
          <w:sz w:val="24"/>
          <w:szCs w:val="24"/>
          <w:highlight w:val="none"/>
        </w:rPr>
        <w:t xml:space="preserve">。</w:t>
      </w:r>
      <w:r/>
    </w:p>
    <w:p>
      <w:pPr>
        <w:ind w:firstLine="482"/>
        <w:jc w:val="left"/>
        <w:spacing w:line="500" w:lineRule="exact"/>
        <w:rPr>
          <w:rFonts w:eastAsia="宋体"/>
          <w:b/>
          <w:bCs/>
          <w:color w:val="auto"/>
          <w:sz w:val="24"/>
          <w:szCs w:val="24"/>
          <w:highlight w:val="none"/>
        </w:rPr>
      </w:pPr>
      <w:r>
        <w:rPr>
          <w:rFonts w:hint="eastAsia"/>
          <w:color w:val="auto"/>
          <w:sz w:val="24"/>
          <w:szCs w:val="24"/>
          <w:highlight w:val="none"/>
        </w:rPr>
        <w:t xml:space="preserve">（三）</w:t>
      </w:r>
      <w:r>
        <w:rPr>
          <w:rFonts w:hint="eastAsia"/>
          <w:b/>
          <w:bCs/>
          <w:color w:val="auto"/>
          <w:sz w:val="24"/>
          <w:szCs w:val="24"/>
          <w:highlight w:val="none"/>
        </w:rPr>
        <w:t xml:space="preserve">本项目的特定资格要求：</w:t>
      </w:r>
      <w:r>
        <w:rPr>
          <w:rFonts w:hint="eastAsia" w:ascii="宋体"/>
          <w:b/>
          <w:color w:val="auto"/>
          <w:sz w:val="24"/>
          <w:highlight w:val="none"/>
        </w:rPr>
        <w:t xml:space="preserve">磋商供应商具有行业主管部门颁发的</w:t>
      </w:r>
      <w:r>
        <w:rPr>
          <w:rFonts w:hint="eastAsia" w:ascii="宋体"/>
          <w:b/>
          <w:color w:val="auto"/>
          <w:sz w:val="24"/>
          <w:highlight w:val="none"/>
          <w:lang w:val="en-US" w:eastAsia="zh-CN"/>
        </w:rPr>
        <w:t xml:space="preserve">乙</w:t>
      </w:r>
      <w:r>
        <w:rPr>
          <w:rFonts w:hint="eastAsia" w:ascii="宋体"/>
          <w:b/>
          <w:color w:val="auto"/>
          <w:sz w:val="24"/>
          <w:highlight w:val="none"/>
        </w:rPr>
        <w:t xml:space="preserve">级</w:t>
      </w:r>
      <w:r>
        <w:rPr>
          <w:rFonts w:hint="eastAsia" w:ascii="宋体"/>
          <w:b/>
          <w:color w:val="auto"/>
          <w:sz w:val="24"/>
          <w:highlight w:val="none"/>
          <w:lang w:val="en-US" w:eastAsia="zh-CN"/>
        </w:rPr>
        <w:t xml:space="preserve">及以上</w:t>
      </w:r>
      <w:r>
        <w:rPr>
          <w:rFonts w:hint="eastAsia" w:ascii="宋体"/>
          <w:b/>
          <w:color w:val="auto"/>
          <w:sz w:val="24"/>
          <w:highlight w:val="none"/>
        </w:rPr>
        <w:t xml:space="preserve">测绘资质</w:t>
      </w:r>
      <w:r>
        <w:rPr>
          <w:rFonts w:hint="eastAsia" w:ascii="宋体"/>
          <w:b/>
          <w:color w:val="auto"/>
          <w:sz w:val="24"/>
          <w:highlight w:val="none"/>
          <w:lang w:eastAsia="zh-CN"/>
        </w:rPr>
        <w:t xml:space="preserve">（</w:t>
      </w:r>
      <w:r>
        <w:rPr>
          <w:rFonts w:hint="eastAsia" w:ascii="宋体"/>
          <w:b/>
          <w:color w:val="auto"/>
          <w:sz w:val="24"/>
          <w:highlight w:val="none"/>
          <w:lang w:val="en-US" w:eastAsia="zh-CN"/>
        </w:rPr>
        <w:t xml:space="preserve">有效的</w:t>
      </w:r>
      <w:r>
        <w:rPr>
          <w:rFonts w:hint="eastAsia" w:ascii="宋体"/>
          <w:b/>
          <w:color w:val="auto"/>
          <w:sz w:val="24"/>
          <w:highlight w:val="none"/>
          <w:lang w:eastAsia="zh-CN"/>
        </w:rPr>
        <w:t xml:space="preserve">）</w:t>
      </w:r>
      <w:r>
        <w:rPr>
          <w:rFonts w:hint="eastAsia" w:ascii="宋体"/>
          <w:b/>
          <w:color w:val="auto"/>
          <w:sz w:val="24"/>
          <w:highlight w:val="none"/>
        </w:rPr>
        <w:t xml:space="preserve">。</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三、获取采购文件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时间：</w:t>
      </w:r>
      <w:r>
        <w:rPr>
          <w:rFonts w:hint="eastAsia" w:ascii="宋体" w:hAnsi="宋体"/>
          <w:color w:val="auto"/>
          <w:sz w:val="24"/>
          <w:szCs w:val="24"/>
          <w:highlight w:val="none"/>
        </w:rPr>
        <w:t xml:space="preserve">自招标公告发布之日起至2025年</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日</w:t>
      </w:r>
      <w:r>
        <w:rPr>
          <w:rFonts w:hint="eastAsia"/>
          <w:color w:val="auto"/>
          <w:sz w:val="24"/>
          <w:szCs w:val="24"/>
          <w:highlight w:val="none"/>
        </w:rPr>
        <w:t xml:space="preserve">（北京时间）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500" w:lineRule="exact"/>
        <w:rPr>
          <w:color w:val="auto"/>
          <w:sz w:val="24"/>
          <w:szCs w:val="24"/>
          <w:highlight w:val="none"/>
        </w:rPr>
      </w:pPr>
      <w:r>
        <w:rPr>
          <w:rFonts w:hint="eastAsia"/>
          <w:color w:val="auto"/>
          <w:sz w:val="24"/>
          <w:szCs w:val="24"/>
          <w:highlight w:val="none"/>
        </w:rPr>
        <w:t xml:space="preserve">方式：供应商办理江苏省政府采购交易系统CA数字证书，登录“苏采云”政府采购交易系统，自行下载。</w:t>
      </w:r>
      <w:r/>
    </w:p>
    <w:p>
      <w:pPr>
        <w:ind w:firstLine="480"/>
        <w:jc w:val="left"/>
        <w:spacing w:line="500" w:lineRule="exact"/>
        <w:rPr>
          <w:color w:val="auto"/>
          <w:sz w:val="24"/>
          <w:szCs w:val="24"/>
          <w:highlight w:val="none"/>
        </w:rPr>
      </w:pPr>
      <w:r>
        <w:rPr>
          <w:rFonts w:hint="eastAsia"/>
          <w:color w:val="auto"/>
          <w:sz w:val="24"/>
          <w:szCs w:val="24"/>
          <w:highlight w:val="none"/>
        </w:rPr>
        <w:t xml:space="preserve">售价：0.00元</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四、提交响应文件截止时间、开启时间和地点</w:t>
      </w:r>
      <w:r/>
    </w:p>
    <w:p>
      <w:pPr>
        <w:ind w:firstLine="480"/>
        <w:jc w:val="left"/>
        <w:spacing w:line="500" w:lineRule="exact"/>
        <w:rPr>
          <w:rFonts w:hint="eastAsia" w:ascii="宋体" w:hAnsi="宋体" w:eastAsia="宋体" w:cs="宋体"/>
          <w:color w:val="auto"/>
          <w:sz w:val="24"/>
          <w:szCs w:val="24"/>
          <w:highlight w:val="none"/>
        </w:rPr>
      </w:pPr>
      <w:r>
        <w:rPr>
          <w:rFonts w:hint="eastAsia"/>
          <w:color w:val="auto"/>
          <w:sz w:val="24"/>
          <w:szCs w:val="24"/>
          <w:highlight w:val="none"/>
        </w:rPr>
        <w:t xml:space="preserve">提交响应文件截止时间：</w:t>
      </w:r>
      <w:r>
        <w:rPr>
          <w:rFonts w:hint="eastAsia" w:ascii="宋体" w:hAnsi="宋体"/>
          <w:color w:val="auto"/>
          <w:sz w:val="24"/>
          <w:szCs w:val="24"/>
          <w:highlight w:val="none"/>
        </w:rPr>
        <w:t xml:space="preserve">2025年</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:00（北京时间）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开启时间：提交响应文件截止时间</w:t>
      </w:r>
      <w:r/>
    </w:p>
    <w:p>
      <w:pPr>
        <w:ind w:firstLine="480"/>
        <w:jc w:val="left"/>
        <w:spacing w:line="500" w:lineRule="exact"/>
        <w:rPr>
          <w:color w:val="auto"/>
          <w:highlight w:val="none"/>
        </w:rPr>
      </w:pPr>
      <w:r>
        <w:rPr>
          <w:rFonts w:hint="eastAsia"/>
          <w:color w:val="auto"/>
          <w:sz w:val="24"/>
          <w:szCs w:val="24"/>
          <w:highlight w:val="none"/>
        </w:rPr>
        <w:t xml:space="preserve">开启地点：“苏采云”政府采购交易系统网上开标大厅</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自本公告发布之日起3个工作日。</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1.本次磋商采购不收取磋商保证金。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2.本磋商文件中</w:t>
      </w:r>
      <w:r>
        <w:rPr>
          <w:rFonts w:hint="eastAsia"/>
          <w:b/>
          <w:bCs/>
          <w:i/>
          <w:iCs/>
          <w:color w:val="auto"/>
          <w:sz w:val="24"/>
          <w:szCs w:val="24"/>
          <w:highlight w:val="none"/>
          <w:u w:val="single"/>
        </w:rPr>
        <w:t xml:space="preserve">斜体且有下划线</w:t>
      </w:r>
      <w:r>
        <w:rPr>
          <w:rFonts w:hint="eastAsia"/>
          <w:color w:val="auto"/>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w:t>
      </w:r>
      <w:bookmarkStart w:id="27" w:name="_GoBack"/>
      <w:r/>
      <w:bookmarkEnd w:id="27"/>
      <w:r>
        <w:rPr>
          <w:rFonts w:hint="eastAsia"/>
          <w:color w:val="auto"/>
          <w:sz w:val="24"/>
          <w:szCs w:val="24"/>
          <w:highlight w:val="none"/>
        </w:rPr>
        <w:t xml:space="preserve">改、补充或者变更信息，导致响应文件编制或者提交失误，由此造成的一切损失由供应商自行承担。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500" w:lineRule="exact"/>
        <w:rPr>
          <w:color w:val="auto"/>
          <w:sz w:val="24"/>
          <w:szCs w:val="24"/>
          <w:highlight w:val="none"/>
        </w:rPr>
      </w:pPr>
      <w:r>
        <w:rPr>
          <w:rFonts w:hint="eastAsia"/>
          <w:color w:val="auto"/>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color w:val="auto"/>
          <w:sz w:val="24"/>
          <w:szCs w:val="24"/>
          <w:highlight w:val="none"/>
        </w:rPr>
        <w:t xml:space="preserve">自行承担一切损失。</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七、对本次采购提出询问，请按以下方式联系</w:t>
      </w:r>
      <w:r/>
    </w:p>
    <w:p>
      <w:pPr>
        <w:ind w:firstLine="480"/>
        <w:jc w:val="left"/>
        <w:spacing w:line="500" w:lineRule="exact"/>
        <w:rPr>
          <w:color w:val="auto"/>
          <w:sz w:val="24"/>
          <w:szCs w:val="24"/>
          <w:highlight w:val="none"/>
        </w:rPr>
      </w:pPr>
      <w:r>
        <w:rPr>
          <w:rFonts w:hint="eastAsia"/>
          <w:color w:val="auto"/>
          <w:sz w:val="24"/>
          <w:szCs w:val="24"/>
          <w:highlight w:val="none"/>
        </w:rPr>
        <w:t xml:space="preserve">1.采购人信息</w:t>
      </w:r>
      <w:r/>
    </w:p>
    <w:p>
      <w:pPr>
        <w:ind w:firstLine="480"/>
        <w:jc w:val="left"/>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连云港市自</w:t>
      </w:r>
      <w:r>
        <w:rPr>
          <w:rFonts w:hint="eastAsia" w:ascii="宋体" w:hAnsi="宋体" w:eastAsia="宋体" w:cs="宋体"/>
          <w:color w:val="auto"/>
          <w:sz w:val="24"/>
          <w:szCs w:val="24"/>
          <w:highlight w:val="none"/>
          <w:lang w:eastAsia="zh-CN"/>
        </w:rPr>
        <w:t xml:space="preserve">然资源和规划局</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址：连云港市朝阳中路21号</w:t>
      </w:r>
      <w:r/>
    </w:p>
    <w:p>
      <w:pPr>
        <w:ind w:firstLine="480"/>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eastAsia="zh-CN"/>
        </w:rPr>
        <w:t xml:space="preserve">曹先生</w:t>
      </w:r>
      <w:r/>
    </w:p>
    <w:p>
      <w:pPr>
        <w:ind w:firstLine="480"/>
        <w:jc w:val="left"/>
        <w:spacing w:line="500" w:lineRule="exact"/>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0518-85521010</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中企华建友工程管理有限公司</w:t>
      </w:r>
      <w:r/>
    </w:p>
    <w:p>
      <w:pPr>
        <w:ind w:firstLine="48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址：连云港市海州区秦东门大街兴亿达大厦</w:t>
      </w:r>
      <w:r>
        <w:rPr>
          <w:rFonts w:hint="eastAsia" w:ascii="宋体" w:hAnsi="宋体" w:eastAsia="宋体" w:cs="宋体"/>
          <w:color w:val="auto"/>
          <w:sz w:val="24"/>
          <w:szCs w:val="24"/>
          <w:highlight w:val="none"/>
          <w:lang w:val="en-US" w:eastAsia="zh-CN"/>
        </w:rPr>
        <w:t xml:space="preserve">东</w:t>
      </w:r>
      <w:r>
        <w:rPr>
          <w:rFonts w:hint="eastAsia" w:ascii="宋体" w:hAnsi="宋体" w:eastAsia="宋体" w:cs="宋体"/>
          <w:color w:val="auto"/>
          <w:sz w:val="24"/>
          <w:szCs w:val="24"/>
          <w:highlight w:val="none"/>
        </w:rPr>
        <w:t xml:space="preserve">厅14楼</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解</w:t>
      </w:r>
      <w:r>
        <w:rPr>
          <w:rFonts w:hint="eastAsia" w:ascii="宋体" w:hAnsi="宋体" w:eastAsia="宋体" w:cs="宋体"/>
          <w:color w:val="auto"/>
          <w:sz w:val="24"/>
          <w:szCs w:val="24"/>
          <w:highlight w:val="none"/>
        </w:rPr>
        <w:t xml:space="preserve">工  0518-</w:t>
      </w:r>
      <w:r>
        <w:rPr>
          <w:rFonts w:hint="eastAsia" w:ascii="宋体" w:hAnsi="宋体" w:eastAsia="宋体" w:cs="宋体"/>
          <w:color w:val="auto"/>
          <w:sz w:val="24"/>
          <w:szCs w:val="24"/>
          <w:highlight w:val="none"/>
          <w:lang w:val="en-US" w:eastAsia="zh-CN"/>
        </w:rPr>
        <w:t xml:space="preserve">85837858</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曹先生</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话：0518-85521010</w:t>
      </w:r>
      <w:r/>
    </w:p>
    <w:p>
      <w:pPr>
        <w:pStyle w:val="689"/>
        <w:jc w:val="center"/>
        <w:spacing w:before="156" w:after="156" w:line="360" w:lineRule="auto"/>
        <w:rPr>
          <w:rFonts w:ascii="黑体" w:hAnsi="黑体" w:eastAsia="黑体"/>
          <w:b w:val="0"/>
          <w:bCs w:val="0"/>
          <w:color w:val="auto"/>
          <w:highlight w:val="none"/>
        </w:rPr>
      </w:pPr>
      <w:r>
        <w:rPr>
          <w:rFonts w:ascii="黑体" w:hAnsi="黑体" w:eastAsia="黑体"/>
          <w:b w:val="0"/>
          <w:bCs w:val="0"/>
          <w:color w:val="auto"/>
          <w:highlight w:val="none"/>
        </w:rPr>
      </w:r>
      <w:r/>
    </w:p>
    <w:p>
      <w:pPr>
        <w:rPr>
          <w:color w:val="auto"/>
          <w:highlight w:val="none"/>
        </w:rPr>
      </w:pPr>
      <w:r>
        <w:rPr>
          <w:color w:val="auto"/>
          <w:highlight w:val="none"/>
        </w:rPr>
        <w:br w:type="page" w:clear="all"/>
      </w:r>
      <w:r/>
    </w:p>
    <w:p>
      <w:pPr>
        <w:pStyle w:val="689"/>
        <w:jc w:val="center"/>
        <w:spacing w:before="156" w:after="156" w:line="360" w:lineRule="auto"/>
        <w:rPr>
          <w:color w:val="auto"/>
          <w:highlight w:val="none"/>
        </w:rPr>
      </w:pPr>
      <w:r/>
      <w:bookmarkStart w:id="2" w:name="_Toc19483"/>
      <w:r/>
      <w:bookmarkStart w:id="3" w:name="_Toc27698"/>
      <w:r>
        <w:rPr>
          <w:rFonts w:hint="eastAsia" w:ascii="黑体" w:hAnsi="黑体" w:eastAsia="黑体"/>
          <w:b w:val="0"/>
          <w:color w:val="auto"/>
          <w:highlight w:val="none"/>
        </w:rPr>
        <w:t xml:space="preserve">第二章  供应商须知</w:t>
      </w:r>
      <w:bookmarkEnd w:id="2"/>
      <w:r/>
      <w:bookmarkEnd w:id="3"/>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1.1 本次政府采购活动采取竞争性磋商（以下简称磋商）方式，本磋商文件仅适用于磋商公告中所述项目。</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2.1 满足磋商公告中申请人的资格要求的规定。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highlight w:val="none"/>
        </w:rPr>
      </w:pPr>
      <w:r>
        <w:rPr>
          <w:rFonts w:hint="eastAsia"/>
          <w:color w:val="auto"/>
          <w:sz w:val="24"/>
          <w:szCs w:val="24"/>
          <w:highlight w:val="none"/>
        </w:rPr>
        <w:t xml:space="preserve">2.3 满足本磋商文件全部实质性要求和条件的规定。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2.4 符合上述条件的供应商应承担参与磋商采购及履约过程应承担的全部责任与义务。</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szCs w:val="24"/>
          <w:highlight w:val="none"/>
        </w:rPr>
      </w:pPr>
      <w:r>
        <w:rPr>
          <w:rFonts w:hint="eastAsia"/>
          <w:color w:val="auto"/>
          <w:sz w:val="24"/>
          <w:szCs w:val="24"/>
          <w:highlight w:val="none"/>
        </w:rPr>
        <w:t xml:space="preserve">3.1 本次磋商采购及由此产生的合同受中华人民共和国有关的法律法规制约和保护。</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4、磋商费用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4.1 供应商应自行承担所有与参与磋商采购活动有关的费用，无论磋商采购过程中的做法和结果如何，采购人和代理机构在任何情况下均无义务和责任承担这些费用。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4.2 本次磋商采购代理服务费</w:t>
      </w:r>
      <w:r>
        <w:rPr>
          <w:rFonts w:hint="eastAsia" w:eastAsia="宋体"/>
          <w:color w:val="auto"/>
          <w:sz w:val="24"/>
          <w:szCs w:val="24"/>
          <w:highlight w:val="none"/>
          <w:lang w:val="en-US" w:eastAsia="zh-CN"/>
        </w:rPr>
        <w:t xml:space="preserve">根据苏</w:t>
      </w:r>
      <w:r>
        <w:rPr>
          <w:rFonts w:hint="eastAsia" w:ascii="宋体" w:hAnsi="宋体" w:eastAsia="宋体" w:cs="宋体"/>
          <w:color w:val="auto"/>
          <w:sz w:val="24"/>
          <w:szCs w:val="24"/>
          <w:highlight w:val="none"/>
          <w:lang w:val="en-US" w:eastAsia="zh-CN"/>
        </w:rPr>
        <w:t xml:space="preserve">招协[2022]002号文规定标准的60%计取</w:t>
      </w:r>
      <w:r>
        <w:rPr>
          <w:rFonts w:hint="eastAsia" w:ascii="宋体" w:hAnsi="宋体" w:eastAsia="宋体" w:cs="宋体"/>
          <w:color w:val="auto"/>
          <w:sz w:val="24"/>
          <w:szCs w:val="24"/>
          <w:highlight w:val="none"/>
        </w:rPr>
        <w:t xml:space="preserve">。</w:t>
      </w:r>
      <w:r>
        <w:rPr>
          <w:rFonts w:hint="eastAsia"/>
          <w:color w:val="auto"/>
          <w:sz w:val="24"/>
          <w:szCs w:val="24"/>
          <w:highlight w:val="none"/>
        </w:rPr>
        <w:t xml:space="preserve">以上费用均由中标人在领取中标通知书时一次性支付，支付方式：电汇，网银，现金。</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5、磋商文件的约束力</w:t>
      </w:r>
      <w:r/>
    </w:p>
    <w:p>
      <w:pPr>
        <w:ind w:firstLine="480"/>
        <w:jc w:val="left"/>
        <w:spacing w:line="500" w:lineRule="exact"/>
        <w:rPr>
          <w:color w:val="auto"/>
          <w:sz w:val="24"/>
          <w:szCs w:val="24"/>
          <w:highlight w:val="none"/>
        </w:rPr>
      </w:pPr>
      <w:r>
        <w:rPr>
          <w:rFonts w:hint="eastAsia"/>
          <w:color w:val="auto"/>
          <w:sz w:val="24"/>
          <w:szCs w:val="24"/>
          <w:highlight w:val="none"/>
        </w:rPr>
        <w:t xml:space="preserve">5.1 供应商一旦参与本项目采购活动，即被认为接受了本磋商文件的规定和约束。</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二、磋商文件</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6、磋商文件的构成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6.1 磋商文件由以下部分构成：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（1）磋商邀请</w:t>
      </w:r>
      <w:r/>
    </w:p>
    <w:p>
      <w:pPr>
        <w:ind w:firstLine="480"/>
        <w:jc w:val="left"/>
        <w:spacing w:line="500" w:lineRule="exact"/>
        <w:rPr>
          <w:color w:val="auto"/>
          <w:sz w:val="24"/>
          <w:szCs w:val="24"/>
          <w:highlight w:val="none"/>
        </w:rPr>
      </w:pPr>
      <w:r>
        <w:rPr>
          <w:rFonts w:hint="eastAsia"/>
          <w:color w:val="auto"/>
          <w:sz w:val="24"/>
          <w:szCs w:val="24"/>
          <w:highlight w:val="none"/>
        </w:rPr>
        <w:t xml:space="preserve">（2）供应商须知</w:t>
      </w:r>
      <w:r/>
    </w:p>
    <w:p>
      <w:pPr>
        <w:ind w:firstLine="480"/>
        <w:jc w:val="left"/>
        <w:spacing w:line="500" w:lineRule="exact"/>
        <w:rPr>
          <w:color w:val="auto"/>
          <w:sz w:val="24"/>
          <w:szCs w:val="24"/>
          <w:highlight w:val="none"/>
        </w:rPr>
      </w:pPr>
      <w:r>
        <w:rPr>
          <w:rFonts w:hint="eastAsia"/>
          <w:color w:val="auto"/>
          <w:sz w:val="24"/>
          <w:szCs w:val="24"/>
          <w:highlight w:val="none"/>
        </w:rPr>
        <w:t xml:space="preserve">（3）合同文本</w:t>
      </w:r>
      <w:r/>
    </w:p>
    <w:p>
      <w:pPr>
        <w:ind w:firstLine="480"/>
        <w:jc w:val="left"/>
        <w:spacing w:line="500" w:lineRule="exact"/>
        <w:rPr>
          <w:color w:val="auto"/>
          <w:sz w:val="24"/>
          <w:szCs w:val="24"/>
          <w:highlight w:val="none"/>
        </w:rPr>
      </w:pPr>
      <w:r>
        <w:rPr>
          <w:rFonts w:hint="eastAsia"/>
          <w:color w:val="auto"/>
          <w:sz w:val="24"/>
          <w:szCs w:val="24"/>
          <w:highlight w:val="none"/>
        </w:rPr>
        <w:t xml:space="preserve">（4）采购需求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（5）评审方法与评审标准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（6）响应文件格式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请仔细检查磋商文件是否齐全，如有缺漏请立即与代理机构联系解决。</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7、磋商文件的澄清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7.1 任何要求对磋商文件进行澄清的供应商，应在提交响应文件截止时间五日前按磋商公告中的通讯地址，以书面形式通知采购人或者代理机构。</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8、磋商文件的修改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8.1 在响应文件提交截止时间前，采购人和代理机构可以对磋商文件进行修改。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8.2 采购人和代理机构有权按照法定的要求推迟提交响应文件截止时间和开启时间。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8.3 磋商文件的修改将在江苏政府采购网公布，补充文件将作为磋商文件的组成部分，并对供应商具有约束力。</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三、响应文件编制</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9、响应文件编写注意事项</w:t>
      </w:r>
      <w:r/>
    </w:p>
    <w:p>
      <w:pPr>
        <w:ind w:firstLine="480"/>
        <w:jc w:val="left"/>
        <w:spacing w:line="500" w:lineRule="exact"/>
        <w:rPr>
          <w:color w:val="auto"/>
          <w:sz w:val="24"/>
          <w:szCs w:val="24"/>
          <w:highlight w:val="none"/>
        </w:rPr>
      </w:pPr>
      <w:r>
        <w:rPr>
          <w:rFonts w:hint="eastAsia"/>
          <w:color w:val="auto"/>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10、响应文件的语言及度量衡单位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10.2 除技术性能另有规定外，响应文件所使用的度量衡单位，均须采用国家法定计量单位。</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11、响应文件的构成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11.3 特别提醒供应商，混乱的编排导致响应文件被误读或竞争性磋商小组（以下简称磋商小组）查找不到有效文件是供应商的风险。</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12、证明供应商及响应标的符合磋商文件规定的文件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12.1 供应商应按照磋商文件要求提交证明文件，证明其及响应标的符合磋商文件规定。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磋商文件对证明文件无明确形式要求的，证明文件可以以文字资料、图纸和数据等形式提交。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12.3 供应商委托代理时应当提交授权委托书，请按磋商文件第六章给定格式及要求填写并附法定代表人（单位负责人）与委托代理人身份证明。</w:t>
      </w:r>
      <w:r/>
    </w:p>
    <w:p>
      <w:pPr>
        <w:pStyle w:val="691"/>
        <w:ind w:firstLine="562"/>
        <w:jc w:val="left"/>
        <w:spacing w:before="0" w:after="0" w:line="360" w:lineRule="auto"/>
        <w:rPr>
          <w:color w:val="auto"/>
          <w:highlight w:val="none"/>
        </w:rPr>
      </w:pPr>
      <w:r>
        <w:rPr>
          <w:rFonts w:hint="eastAsia"/>
          <w:color w:val="auto"/>
          <w:sz w:val="28"/>
          <w:szCs w:val="28"/>
          <w:highlight w:val="none"/>
        </w:rPr>
        <w:t xml:space="preserve">13、分项报价表</w:t>
      </w:r>
      <w:r/>
    </w:p>
    <w:p>
      <w:pPr>
        <w:ind w:firstLine="480"/>
        <w:jc w:val="left"/>
        <w:spacing w:line="500" w:lineRule="exact"/>
        <w:rPr>
          <w:color w:val="auto"/>
          <w:sz w:val="24"/>
          <w:szCs w:val="24"/>
          <w:highlight w:val="none"/>
        </w:rPr>
      </w:pPr>
      <w:r>
        <w:rPr>
          <w:rFonts w:hint="eastAsia"/>
          <w:color w:val="auto"/>
          <w:sz w:val="24"/>
          <w:szCs w:val="24"/>
          <w:highlight w:val="none"/>
        </w:rPr>
        <w:t xml:space="preserve">13.1 供应商应根据响应报价要求在分项报价表中列明各项单价、总价等，未全部列示的作无效响应处理。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13.2 响应文件中的单价和总价无特殊规定的采用人民币报价，以元为单位标注。磋商文件中另有规定的按规定执行。</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color w:val="auto"/>
          <w:sz w:val="24"/>
          <w:szCs w:val="24"/>
          <w:highlight w:val="none"/>
        </w:rPr>
      </w:pPr>
      <w:r>
        <w:rPr>
          <w:rFonts w:hint="eastAsia"/>
          <w:color w:val="auto"/>
          <w:sz w:val="24"/>
          <w:szCs w:val="24"/>
          <w:highlight w:val="none"/>
        </w:rPr>
        <w:t xml:space="preserve">14.2 供应商可在响应文件中提供认为需要的其他技术文件或说明。</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highlight w:val="none"/>
        </w:rPr>
      </w:pPr>
      <w:r>
        <w:rPr>
          <w:rFonts w:hint="eastAsia"/>
          <w:color w:val="auto"/>
          <w:sz w:val="24"/>
          <w:szCs w:val="24"/>
          <w:highlight w:val="none"/>
        </w:rPr>
        <w:t xml:space="preserve">15.2 供应商应根据磋商文件要求提供培训计划、人员安排等。</w:t>
      </w:r>
      <w:r/>
    </w:p>
    <w:p>
      <w:pPr>
        <w:ind w:firstLine="480"/>
        <w:jc w:val="left"/>
        <w:spacing w:line="500" w:lineRule="exact"/>
        <w:rPr>
          <w:color w:val="auto"/>
          <w:sz w:val="24"/>
          <w:szCs w:val="24"/>
          <w:highlight w:val="none"/>
        </w:rPr>
      </w:pPr>
      <w:r>
        <w:rPr>
          <w:rFonts w:hint="eastAsia"/>
          <w:color w:val="auto"/>
          <w:sz w:val="24"/>
          <w:szCs w:val="24"/>
          <w:highlight w:val="none"/>
        </w:rPr>
        <w:t xml:space="preserve">15.3 供应商应根据磋商文件要求提供响应标的的主要组成部分、功能设计、实现思路及关键技术等。</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16、磋商响应函</w:t>
      </w:r>
      <w:r/>
    </w:p>
    <w:p>
      <w:pPr>
        <w:ind w:firstLine="480"/>
        <w:jc w:val="left"/>
        <w:spacing w:line="500" w:lineRule="exact"/>
        <w:rPr>
          <w:color w:val="auto"/>
          <w:sz w:val="24"/>
          <w:szCs w:val="24"/>
          <w:highlight w:val="none"/>
        </w:rPr>
      </w:pPr>
      <w:r>
        <w:rPr>
          <w:rFonts w:hint="eastAsia"/>
          <w:color w:val="auto"/>
          <w:sz w:val="24"/>
          <w:szCs w:val="24"/>
          <w:highlight w:val="none"/>
        </w:rPr>
        <w:t xml:space="preserve">16.1 供应商应按照磋商文件提供的格式完整、正确填写磋商响应函。</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17、磋商有效期</w:t>
      </w:r>
      <w:r/>
    </w:p>
    <w:p>
      <w:pPr>
        <w:ind w:firstLine="480"/>
        <w:jc w:val="left"/>
        <w:spacing w:line="500" w:lineRule="exact"/>
        <w:rPr>
          <w:color w:val="auto"/>
          <w:sz w:val="24"/>
          <w:szCs w:val="24"/>
          <w:highlight w:val="none"/>
        </w:rPr>
      </w:pPr>
      <w:r>
        <w:rPr>
          <w:rFonts w:hint="eastAsia"/>
          <w:color w:val="auto"/>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四、响应文件提交</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18、电子响应文件的提交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18.1 供应商应当按照《操作手册》规定，在响应文件提交截止时间前制作并提交（上传）电子响应文件。</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19、提交响应文件截止时间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19.1 供应商提交（上传）电子响应文件的时间不得迟于磋商公告中规定的截止时间。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20、响应文件的拒收</w:t>
      </w:r>
      <w:r/>
    </w:p>
    <w:p>
      <w:pPr>
        <w:ind w:firstLine="480"/>
        <w:jc w:val="left"/>
        <w:spacing w:line="500" w:lineRule="exact"/>
        <w:rPr>
          <w:color w:val="auto"/>
          <w:sz w:val="24"/>
          <w:szCs w:val="24"/>
          <w:highlight w:val="none"/>
        </w:rPr>
      </w:pPr>
      <w:r>
        <w:rPr>
          <w:rFonts w:hint="eastAsia"/>
          <w:color w:val="auto"/>
          <w:sz w:val="24"/>
          <w:szCs w:val="24"/>
          <w:highlight w:val="none"/>
        </w:rPr>
        <w:t xml:space="preserve">20.1 代理机构拒绝接收在磋商文件规定的截止时间后提交（上传）的任何响应文件。</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21、响应文件的撤回和修改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color w:val="auto"/>
          <w:sz w:val="24"/>
          <w:szCs w:val="24"/>
          <w:highlight w:val="none"/>
        </w:rPr>
      </w:pPr>
      <w:r>
        <w:rPr>
          <w:rFonts w:hint="eastAsia"/>
          <w:color w:val="auto"/>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21.3 在提交（上传）响应文件截止时间至磋商文件规定的磋商有效期满之间的这段时间内，供应商不得撤回其电子响应文件。</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五、响应文件开启（解密）与评审</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22、响应文件开启（解密）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22.1 代理机构将在磋商公告中规定的时间和地点组织响应文件开启。供应商应当按时参加，并在“苏采云”系统规定的时间内对其电子响应文件进行解密。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22.2 供应商在开启（解密）过程中涉及到的响应文件解密、开启结果确认等工作，应当按照《操作手册》规定执行。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22.5 供应商未参加开启（解密）的，视同认可开启（解密）结果。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6</w:t>
      </w:r>
      <w:r>
        <w:rPr>
          <w:rFonts w:hint="eastAsia"/>
          <w:color w:val="auto"/>
          <w:sz w:val="24"/>
          <w:szCs w:val="24"/>
          <w:highlight w:val="none"/>
        </w:rPr>
        <w:t xml:space="preserve"> 供应商在开启（解密）、澄清、磋商、最后报价、评审全过程中应保持通讯畅通，及时登录“苏采云”系统查阅、答复相关信息，并安排专人与代理机构及磋商小组联系。</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23、磋商小组</w:t>
      </w:r>
      <w:r/>
    </w:p>
    <w:p>
      <w:pPr>
        <w:ind w:firstLine="480"/>
        <w:jc w:val="left"/>
        <w:spacing w:line="500" w:lineRule="exact"/>
        <w:rPr>
          <w:color w:val="auto"/>
          <w:sz w:val="24"/>
          <w:szCs w:val="24"/>
          <w:highlight w:val="none"/>
        </w:rPr>
      </w:pPr>
      <w:r>
        <w:rPr>
          <w:rFonts w:hint="eastAsia"/>
          <w:color w:val="auto"/>
          <w:sz w:val="24"/>
          <w:szCs w:val="24"/>
          <w:highlight w:val="none"/>
        </w:rPr>
        <w:t xml:space="preserve">23.1 响应文件开启（解密）后，代理机构将组织磋商小组进行评审。</w:t>
      </w:r>
      <w:r/>
    </w:p>
    <w:p>
      <w:pPr>
        <w:ind w:firstLine="480"/>
        <w:jc w:val="left"/>
        <w:spacing w:line="500" w:lineRule="exact"/>
        <w:rPr>
          <w:color w:val="auto"/>
          <w:sz w:val="24"/>
          <w:szCs w:val="24"/>
          <w:highlight w:val="none"/>
        </w:rPr>
      </w:pPr>
      <w:r>
        <w:rPr>
          <w:rFonts w:hint="eastAsia"/>
          <w:color w:val="auto"/>
          <w:sz w:val="24"/>
          <w:szCs w:val="24"/>
          <w:highlight w:val="none"/>
        </w:rPr>
        <w:t xml:space="preserve">23.2 磋商小组由采购人代表和有关技术、经济等方面的评审专家组成，且人员构成符合政府采购有关规定。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23.3 磋商小组按照磋商文件规定的评审程序、评审方法和评审标准进行独立评审并确定成交候选人。</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24、评审过程的保密与公正</w:t>
      </w:r>
      <w:r/>
    </w:p>
    <w:p>
      <w:pPr>
        <w:ind w:firstLine="480"/>
        <w:jc w:val="left"/>
        <w:spacing w:line="500" w:lineRule="exact"/>
        <w:rPr>
          <w:color w:val="auto"/>
          <w:sz w:val="24"/>
          <w:szCs w:val="24"/>
          <w:highlight w:val="none"/>
        </w:rPr>
      </w:pPr>
      <w:r>
        <w:rPr>
          <w:rFonts w:hint="eastAsia"/>
          <w:color w:val="auto"/>
          <w:sz w:val="24"/>
          <w:szCs w:val="24"/>
          <w:highlight w:val="none"/>
        </w:rPr>
        <w:t xml:space="preserve">24.1 凡是与审查、澄清、评价和比较有关的资料以及成交建议等，采购人、评审专家、代理机构均不得向供应商或与评审无关的其他人员透露。</w:t>
      </w:r>
      <w:r/>
    </w:p>
    <w:p>
      <w:pPr>
        <w:ind w:firstLine="480"/>
        <w:jc w:val="left"/>
        <w:spacing w:line="500" w:lineRule="exact"/>
        <w:rPr>
          <w:color w:val="auto"/>
          <w:sz w:val="24"/>
          <w:szCs w:val="24"/>
          <w:highlight w:val="none"/>
        </w:rPr>
      </w:pPr>
      <w:r>
        <w:rPr>
          <w:rFonts w:hint="eastAsia"/>
          <w:color w:val="auto"/>
          <w:sz w:val="24"/>
          <w:szCs w:val="24"/>
          <w:highlight w:val="none"/>
        </w:rPr>
        <w:t xml:space="preserve">24.2 在评审过程中，供应商不得以任何行为影响评审过程，否则其响应文件将被作为无效响应文件。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24.3 代理机构和磋商小组不向未成交的供应商解释未成交原因，也不公布评审过程中的相关细节。</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25、响应文件的澄清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磋商小组并非对每个供应商都提出澄清、说明或者补正要求。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color w:val="auto"/>
          <w:sz w:val="24"/>
          <w:szCs w:val="24"/>
          <w:highlight w:val="none"/>
        </w:rPr>
      </w:pPr>
      <w:r>
        <w:rPr>
          <w:rFonts w:hint="eastAsia"/>
          <w:color w:val="auto"/>
          <w:sz w:val="24"/>
          <w:szCs w:val="24"/>
          <w:highlight w:val="none"/>
        </w:rPr>
        <w:t xml:space="preserve">25.3 接到磋商小组澄清、说明或者补正要求的供应商如未按要求响应，其风险由供应商自行承担。</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26、对响应文件的审查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26.1 响应文件审查分为资格审查和符合性审查。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auto"/>
          <w:sz w:val="24"/>
          <w:szCs w:val="24"/>
          <w:highlight w:val="none"/>
        </w:rPr>
      </w:pPr>
      <w:r>
        <w:rPr>
          <w:rFonts w:hint="eastAsia"/>
          <w:color w:val="auto"/>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color w:val="auto"/>
          <w:sz w:val="24"/>
          <w:szCs w:val="24"/>
          <w:highlight w:val="none"/>
        </w:rPr>
      </w:pPr>
      <w:r>
        <w:rPr>
          <w:rFonts w:hint="eastAsia"/>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26.3 如果响应文件实质上没有响应磋商文件的要求，磋商小组将予以拒绝，供应商不得通过修改或撤销不符合要求的偏离或保留而使其成为实质性响应。</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26.4</w:t>
      </w:r>
      <w:r>
        <w:rPr>
          <w:rFonts w:hint="eastAsia"/>
          <w:color w:val="auto"/>
          <w:sz w:val="24"/>
          <w:szCs w:val="24"/>
          <w:highlight w:val="none"/>
        </w:rPr>
        <w:t xml:space="preserve"> 政府采购异常低价审查：</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（1）评审过程中出现下列情形之一的，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应当启动异常低价投标（响应）审查程序：</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①投标（响应）报价低于采购项目预算50%的，即投标（响应）报价&lt;采购项目预算×50%；</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②投标（响应）报价低于采购项目最高限价45%的，即投标（响应）报价&lt;采购项目最高限价×45%；</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③</w:t>
      </w:r>
      <w:r>
        <w:rPr>
          <w:rFonts w:hint="eastAsia"/>
          <w:color w:val="auto"/>
          <w:sz w:val="24"/>
          <w:szCs w:val="24"/>
          <w:highlight w:val="none"/>
          <w:lang w:eastAsia="zh-CN"/>
        </w:rPr>
        <w:t xml:space="preserve">磋商小组</w:t>
      </w:r>
      <w:r>
        <w:rPr>
          <w:rFonts w:hint="eastAsia"/>
          <w:color w:val="auto"/>
          <w:sz w:val="24"/>
          <w:szCs w:val="24"/>
          <w:highlight w:val="none"/>
        </w:rPr>
        <w:t xml:space="preserve">认定的供应商报价过低、有可能影响产品质量或者不能诚信履约的其他情形。</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（2）启动异常低价投标（响应）审查后，</w:t>
      </w:r>
      <w:r>
        <w:rPr>
          <w:rFonts w:hint="eastAsia"/>
          <w:color w:val="auto"/>
          <w:sz w:val="24"/>
          <w:szCs w:val="24"/>
          <w:highlight w:val="none"/>
          <w:lang w:eastAsia="zh-CN"/>
        </w:rPr>
        <w:t xml:space="preserve">磋商小组</w:t>
      </w:r>
      <w:r>
        <w:rPr>
          <w:rFonts w:hint="eastAsia"/>
          <w:color w:val="auto"/>
          <w:sz w:val="24"/>
          <w:szCs w:val="24"/>
          <w:highlight w:val="none"/>
        </w:rPr>
        <w:t xml:space="preserve">应当要求相关供应商在评标现场合理的时间内，提供项目具体成本测算等与报价合理性相关的书面说明及相关证明材料，对投标（响应）价格作出解释，由</w:t>
      </w:r>
      <w:r>
        <w:rPr>
          <w:rFonts w:hint="eastAsia"/>
          <w:color w:val="auto"/>
          <w:sz w:val="24"/>
          <w:szCs w:val="24"/>
          <w:highlight w:val="none"/>
          <w:lang w:eastAsia="zh-CN"/>
        </w:rPr>
        <w:t xml:space="preserve">磋商小组</w:t>
      </w:r>
      <w:r>
        <w:rPr>
          <w:rFonts w:hint="eastAsia"/>
          <w:color w:val="auto"/>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应当将其作为无效投标（响应）处理。审查相关情况应当在评审报告中进行记录。</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27、磋商程序</w:t>
      </w:r>
      <w:r/>
    </w:p>
    <w:p>
      <w:pPr>
        <w:ind w:firstLine="480"/>
        <w:jc w:val="left"/>
        <w:spacing w:line="500" w:lineRule="exact"/>
        <w:rPr>
          <w:color w:val="auto"/>
          <w:sz w:val="24"/>
          <w:szCs w:val="24"/>
          <w:highlight w:val="none"/>
        </w:rPr>
      </w:pPr>
      <w:r>
        <w:rPr>
          <w:rFonts w:hint="eastAsia"/>
          <w:color w:val="auto"/>
          <w:sz w:val="24"/>
          <w:szCs w:val="24"/>
          <w:highlight w:val="none"/>
        </w:rPr>
        <w:t xml:space="preserve">27.1 对于通过资格审查和符合性审查的供应商，磋商小组将集中与单一供应商分别进行磋商。</w:t>
      </w:r>
      <w:r/>
    </w:p>
    <w:p>
      <w:pPr>
        <w:ind w:firstLine="480"/>
        <w:jc w:val="left"/>
        <w:spacing w:line="500" w:lineRule="exact"/>
        <w:rPr>
          <w:color w:val="auto"/>
          <w:sz w:val="24"/>
          <w:szCs w:val="24"/>
          <w:highlight w:val="none"/>
        </w:rPr>
      </w:pPr>
      <w:r>
        <w:rPr>
          <w:rFonts w:hint="eastAsia"/>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color w:val="auto"/>
          <w:sz w:val="24"/>
          <w:szCs w:val="24"/>
          <w:highlight w:val="none"/>
        </w:rPr>
      </w:pPr>
      <w:r>
        <w:rPr>
          <w:rFonts w:hint="eastAsia"/>
          <w:color w:val="auto"/>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供应商未在磋商小组规定的时间内在“苏采云”系统中提交最后报价的视为放弃磋商，其响应文件按无效响应处理。</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28、评审方法与评审标准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28.1 评审方法。详见本磋商文件第五章。</w:t>
      </w:r>
      <w:r/>
    </w:p>
    <w:p>
      <w:pPr>
        <w:ind w:firstLine="480"/>
        <w:jc w:val="left"/>
        <w:spacing w:line="500" w:lineRule="exact"/>
        <w:rPr>
          <w:color w:val="auto"/>
          <w:sz w:val="24"/>
          <w:szCs w:val="24"/>
          <w:highlight w:val="none"/>
        </w:rPr>
      </w:pPr>
      <w:r>
        <w:rPr>
          <w:rFonts w:hint="eastAsia"/>
          <w:color w:val="auto"/>
          <w:sz w:val="24"/>
          <w:szCs w:val="24"/>
          <w:highlight w:val="none"/>
        </w:rPr>
        <w:t xml:space="preserve">28.2 评审标准。详见本磋商文件第五章。</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29、未实质性响应磋商文件的情形和采购活动终止</w:t>
      </w:r>
      <w:r/>
    </w:p>
    <w:p>
      <w:pPr>
        <w:ind w:firstLine="480"/>
        <w:jc w:val="left"/>
        <w:spacing w:line="500" w:lineRule="exact"/>
        <w:rPr>
          <w:color w:val="auto"/>
          <w:sz w:val="24"/>
          <w:szCs w:val="24"/>
          <w:highlight w:val="none"/>
        </w:rPr>
      </w:pPr>
      <w:r>
        <w:rPr>
          <w:rFonts w:hint="eastAsia"/>
          <w:color w:val="auto"/>
          <w:sz w:val="24"/>
          <w:szCs w:val="24"/>
          <w:highlight w:val="none"/>
        </w:rPr>
        <w:t xml:space="preserve">29.1 未实质性响应磋商文件的情形：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（1）供应商未按照磋商文件要求提交（上传）电子响应文件的。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（2）供应商在“苏采云”系统规定的时间内未成功解密电子响应文件的。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（3）供应商不具备磋商文件中规定的资格要求的。</w:t>
      </w:r>
      <w:r/>
    </w:p>
    <w:p>
      <w:pPr>
        <w:ind w:firstLine="480"/>
        <w:jc w:val="left"/>
        <w:spacing w:line="500" w:lineRule="exact"/>
        <w:rPr>
          <w:color w:val="auto"/>
          <w:sz w:val="24"/>
          <w:szCs w:val="24"/>
          <w:highlight w:val="none"/>
        </w:rPr>
      </w:pPr>
      <w:r>
        <w:rPr>
          <w:rFonts w:hint="eastAsia"/>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highlight w:val="none"/>
        </w:rPr>
      </w:pPr>
      <w:r>
        <w:rPr>
          <w:rFonts w:hint="eastAsia"/>
          <w:color w:val="auto"/>
          <w:sz w:val="24"/>
          <w:szCs w:val="24"/>
          <w:highlight w:val="none"/>
        </w:rPr>
        <w:t xml:space="preserve">（5）不符合磋商文件规定的实质性要求和条件的。（本磋商文件中</w:t>
      </w:r>
      <w:r>
        <w:rPr>
          <w:rFonts w:hint="eastAsia"/>
          <w:b/>
          <w:bCs/>
          <w:i/>
          <w:iCs/>
          <w:color w:val="auto"/>
          <w:sz w:val="24"/>
          <w:szCs w:val="24"/>
          <w:highlight w:val="none"/>
          <w:u w:val="single"/>
        </w:rPr>
        <w:t xml:space="preserve">斜体且有下划线部分</w:t>
      </w:r>
      <w:r>
        <w:rPr>
          <w:rFonts w:hint="eastAsia"/>
          <w:color w:val="auto"/>
          <w:sz w:val="24"/>
          <w:szCs w:val="24"/>
          <w:highlight w:val="none"/>
        </w:rPr>
        <w:t xml:space="preserve">为实质性要求和条件）</w:t>
      </w:r>
      <w:r/>
    </w:p>
    <w:p>
      <w:pPr>
        <w:ind w:firstLine="480"/>
        <w:jc w:val="left"/>
        <w:spacing w:line="500" w:lineRule="exact"/>
        <w:rPr>
          <w:color w:val="auto"/>
          <w:sz w:val="24"/>
          <w:szCs w:val="24"/>
          <w:highlight w:val="none"/>
        </w:rPr>
      </w:pPr>
      <w:r>
        <w:rPr>
          <w:rFonts w:hint="eastAsia"/>
          <w:color w:val="auto"/>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color w:val="auto"/>
          <w:sz w:val="24"/>
          <w:szCs w:val="24"/>
          <w:highlight w:val="none"/>
        </w:rPr>
      </w:pPr>
      <w:r>
        <w:rPr>
          <w:rFonts w:hint="eastAsia"/>
          <w:color w:val="auto"/>
          <w:sz w:val="24"/>
          <w:szCs w:val="24"/>
          <w:highlight w:val="none"/>
        </w:rPr>
        <w:t xml:space="preserve">（7）供应商未通过符合性审查的。</w:t>
      </w:r>
      <w:r/>
    </w:p>
    <w:p>
      <w:pPr>
        <w:ind w:firstLine="480"/>
        <w:jc w:val="left"/>
        <w:spacing w:line="500" w:lineRule="exact"/>
        <w:rPr>
          <w:color w:val="auto"/>
          <w:sz w:val="24"/>
          <w:szCs w:val="24"/>
          <w:highlight w:val="none"/>
        </w:rPr>
      </w:pPr>
      <w:r>
        <w:rPr>
          <w:rFonts w:hint="eastAsia"/>
          <w:color w:val="auto"/>
          <w:sz w:val="24"/>
          <w:szCs w:val="24"/>
          <w:highlight w:val="none"/>
        </w:rPr>
        <w:t xml:space="preserve">（8）供应商未按照要求对磋商或者最后报价作出响应的。</w:t>
      </w:r>
      <w:r/>
    </w:p>
    <w:p>
      <w:pPr>
        <w:ind w:firstLine="480"/>
        <w:jc w:val="left"/>
        <w:spacing w:line="50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9</w:t>
      </w:r>
      <w:r>
        <w:rPr>
          <w:rFonts w:hint="eastAsia"/>
          <w:color w:val="auto"/>
          <w:sz w:val="24"/>
          <w:szCs w:val="24"/>
          <w:highlight w:val="none"/>
        </w:rPr>
        <w:t xml:space="preserve">）供应商提交两个（含两个）以上不同的最后报价的。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10</w:t>
      </w:r>
      <w:r>
        <w:rPr>
          <w:rFonts w:hint="eastAsia"/>
          <w:color w:val="auto"/>
          <w:sz w:val="24"/>
          <w:szCs w:val="24"/>
          <w:highlight w:val="none"/>
        </w:rPr>
        <w:t xml:space="preserve">）供应商的最后报价超过了采购预算或者最高限价的。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1</w:t>
      </w:r>
      <w:r>
        <w:rPr>
          <w:rFonts w:hint="eastAsia"/>
          <w:color w:val="auto"/>
          <w:sz w:val="24"/>
          <w:szCs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2</w:t>
      </w:r>
      <w:r>
        <w:rPr>
          <w:rFonts w:hint="eastAsia"/>
          <w:color w:val="auto"/>
          <w:sz w:val="24"/>
          <w:szCs w:val="24"/>
          <w:highlight w:val="none"/>
        </w:rPr>
        <w:t xml:space="preserve">）响应文件含有采购人不能接受的附加条件的。</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3</w:t>
      </w:r>
      <w:r>
        <w:rPr>
          <w:rFonts w:hint="eastAsia"/>
          <w:color w:val="auto"/>
          <w:sz w:val="24"/>
          <w:szCs w:val="24"/>
          <w:highlight w:val="none"/>
        </w:rPr>
        <w:t xml:space="preserve">）响应文件未按照磋商文件要求加盖公章（CA电子公章）的。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的商务技术部分得分相差悬殊，评标委员会认为得分畸低者没有实质性响应的。</w:t>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5</w:t>
      </w:r>
      <w:r>
        <w:rPr>
          <w:rFonts w:hint="eastAsia"/>
          <w:color w:val="auto"/>
          <w:sz w:val="24"/>
          <w:szCs w:val="24"/>
          <w:highlight w:val="none"/>
        </w:rPr>
        <w:t xml:space="preserve">）其他法律、法规及本磋商文件规定的属于未实质性响应磋商文件的情形。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29.2 有下列情形之一的，视为供应商串通，响应无效：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（1）不同供应商的响应文件由同一单位或者个人编制。</w:t>
      </w:r>
      <w:r/>
    </w:p>
    <w:p>
      <w:pPr>
        <w:ind w:firstLine="480"/>
        <w:jc w:val="left"/>
        <w:spacing w:line="500" w:lineRule="exact"/>
        <w:rPr>
          <w:color w:val="auto"/>
          <w:sz w:val="24"/>
          <w:szCs w:val="24"/>
          <w:highlight w:val="none"/>
        </w:rPr>
      </w:pPr>
      <w:r>
        <w:rPr>
          <w:rFonts w:hint="eastAsia"/>
          <w:color w:val="auto"/>
          <w:sz w:val="24"/>
          <w:szCs w:val="24"/>
          <w:highlight w:val="none"/>
        </w:rPr>
        <w:t xml:space="preserve">（2）不同供应商委托同一单位或者个人办理磋商事宜。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（3）不同供应商的响应文件载明的项目管理成员或者联系人员为同一人。</w:t>
      </w:r>
      <w:r/>
    </w:p>
    <w:p>
      <w:pPr>
        <w:ind w:firstLine="480"/>
        <w:jc w:val="left"/>
        <w:spacing w:line="500" w:lineRule="exact"/>
        <w:rPr>
          <w:color w:val="auto"/>
          <w:sz w:val="24"/>
          <w:szCs w:val="24"/>
          <w:highlight w:val="none"/>
        </w:rPr>
      </w:pPr>
      <w:r>
        <w:rPr>
          <w:rFonts w:hint="eastAsia"/>
          <w:color w:val="auto"/>
          <w:sz w:val="24"/>
          <w:szCs w:val="24"/>
          <w:highlight w:val="none"/>
        </w:rPr>
        <w:t xml:space="preserve">（4）不同供应商的响应文件异常一致或者最后报价呈规律性差异。</w:t>
      </w:r>
      <w:r/>
    </w:p>
    <w:p>
      <w:pPr>
        <w:ind w:firstLine="480"/>
        <w:jc w:val="left"/>
        <w:spacing w:line="500" w:lineRule="exact"/>
        <w:rPr>
          <w:color w:val="auto"/>
          <w:sz w:val="24"/>
          <w:szCs w:val="24"/>
          <w:highlight w:val="none"/>
        </w:rPr>
      </w:pPr>
      <w:r>
        <w:rPr>
          <w:rFonts w:hint="eastAsia"/>
          <w:color w:val="auto"/>
          <w:sz w:val="24"/>
          <w:szCs w:val="24"/>
          <w:highlight w:val="none"/>
        </w:rPr>
        <w:t xml:space="preserve">（5）不同供应商的响应文件相互混装。</w:t>
      </w:r>
      <w:r/>
    </w:p>
    <w:p>
      <w:pPr>
        <w:ind w:firstLine="480"/>
        <w:jc w:val="left"/>
        <w:spacing w:line="500" w:lineRule="exact"/>
        <w:rPr>
          <w:color w:val="auto"/>
          <w:sz w:val="24"/>
          <w:szCs w:val="24"/>
          <w:highlight w:val="none"/>
        </w:rPr>
      </w:pPr>
      <w:r>
        <w:rPr>
          <w:rFonts w:hint="eastAsia"/>
          <w:color w:val="auto"/>
          <w:sz w:val="24"/>
          <w:szCs w:val="24"/>
          <w:highlight w:val="none"/>
        </w:rPr>
        <w:t xml:space="preserve">29.3 采购活动终止的情形：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500" w:lineRule="exact"/>
        <w:rPr>
          <w:color w:val="auto"/>
          <w:sz w:val="24"/>
          <w:szCs w:val="24"/>
          <w:highlight w:val="none"/>
        </w:rPr>
      </w:pPr>
      <w:r>
        <w:rPr>
          <w:rFonts w:hint="eastAsia"/>
          <w:color w:val="auto"/>
          <w:sz w:val="24"/>
          <w:szCs w:val="24"/>
          <w:highlight w:val="none"/>
        </w:rPr>
        <w:t xml:space="preserve">（3）除本磋商文件第二章第27.2条第三款规定的情形外，符合专业条件的供应商或者对磋商文件作实质响应的供应商不足三家的。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500" w:lineRule="exact"/>
        <w:rPr>
          <w:color w:val="auto"/>
          <w:sz w:val="24"/>
          <w:szCs w:val="24"/>
          <w:highlight w:val="none"/>
        </w:rPr>
      </w:pPr>
      <w:r>
        <w:rPr>
          <w:rFonts w:hint="eastAsia"/>
          <w:color w:val="auto"/>
          <w:sz w:val="24"/>
          <w:szCs w:val="24"/>
          <w:highlight w:val="none"/>
        </w:rPr>
        <w:t xml:space="preserve">（5）因重大变故，采购任务取消的。</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六、成交</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30、确定成交单位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color w:val="auto"/>
          <w:sz w:val="24"/>
          <w:szCs w:val="24"/>
          <w:highlight w:val="none"/>
        </w:rPr>
      </w:pPr>
      <w:r>
        <w:rPr>
          <w:rFonts w:hint="eastAsia"/>
          <w:color w:val="auto"/>
          <w:sz w:val="24"/>
          <w:szCs w:val="24"/>
          <w:highlight w:val="none"/>
        </w:rPr>
        <w:t xml:space="preserve">30.2 采购人从评审报告提出的成交候选供应商中，按照排序由高到低的原则确定成交供应商。采购人确定成交供应商后，代理机构将在江苏政府采购网发布成交结果公告，公告期限为1个工作日。</w:t>
      </w:r>
      <w:r/>
    </w:p>
    <w:p>
      <w:pPr>
        <w:ind w:firstLine="480"/>
        <w:jc w:val="left"/>
        <w:spacing w:line="500" w:lineRule="exact"/>
        <w:rPr>
          <w:color w:val="auto"/>
          <w:sz w:val="24"/>
          <w:szCs w:val="24"/>
          <w:highlight w:val="none"/>
        </w:rPr>
      </w:pPr>
      <w:r>
        <w:rPr>
          <w:rFonts w:hint="eastAsia"/>
          <w:color w:val="auto"/>
          <w:sz w:val="24"/>
          <w:szCs w:val="24"/>
          <w:highlight w:val="none"/>
        </w:rPr>
        <w:t xml:space="preserve">30.3 若有充分证据证明，成交供应商存在下列情形之一的，一经查实，将被取消成交资格：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500" w:lineRule="exact"/>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500" w:lineRule="exact"/>
        <w:rPr>
          <w:color w:val="auto"/>
          <w:sz w:val="24"/>
          <w:szCs w:val="24"/>
          <w:highlight w:val="none"/>
        </w:rPr>
      </w:pPr>
      <w:r>
        <w:rPr>
          <w:rFonts w:hint="eastAsia"/>
          <w:color w:val="auto"/>
          <w:sz w:val="24"/>
          <w:szCs w:val="24"/>
          <w:highlight w:val="none"/>
        </w:rPr>
        <w:t xml:space="preserve">（3）与采购人、其他供应商或者代理机构恶意串通的。</w:t>
      </w:r>
      <w:r/>
    </w:p>
    <w:p>
      <w:pPr>
        <w:ind w:firstLine="480"/>
        <w:jc w:val="left"/>
        <w:spacing w:line="500" w:lineRule="exact"/>
        <w:rPr>
          <w:color w:val="auto"/>
          <w:sz w:val="24"/>
          <w:szCs w:val="24"/>
          <w:highlight w:val="none"/>
        </w:rPr>
      </w:pPr>
      <w:r>
        <w:rPr>
          <w:rFonts w:hint="eastAsia"/>
          <w:color w:val="auto"/>
          <w:sz w:val="24"/>
          <w:szCs w:val="24"/>
          <w:highlight w:val="none"/>
        </w:rPr>
        <w:t xml:space="preserve">（4）向采购人、代理机构行贿或者提供其他不正当利益的。</w:t>
      </w:r>
      <w:r/>
    </w:p>
    <w:p>
      <w:pPr>
        <w:ind w:firstLine="480"/>
        <w:jc w:val="left"/>
        <w:spacing w:line="500" w:lineRule="exact"/>
        <w:rPr>
          <w:color w:val="auto"/>
          <w:sz w:val="24"/>
          <w:szCs w:val="24"/>
          <w:highlight w:val="none"/>
        </w:rPr>
      </w:pPr>
      <w:r>
        <w:rPr>
          <w:rFonts w:hint="eastAsia"/>
          <w:color w:val="auto"/>
          <w:sz w:val="24"/>
          <w:szCs w:val="24"/>
          <w:highlight w:val="none"/>
        </w:rPr>
        <w:t xml:space="preserve">（5）属于本磋商文件规定的无效情形，但在评审过程中又未被磋商小组发现的。</w:t>
      </w:r>
      <w:r/>
    </w:p>
    <w:p>
      <w:pPr>
        <w:ind w:firstLine="480"/>
        <w:jc w:val="left"/>
        <w:spacing w:line="500" w:lineRule="exact"/>
        <w:rPr>
          <w:color w:val="auto"/>
          <w:sz w:val="24"/>
          <w:szCs w:val="24"/>
          <w:highlight w:val="none"/>
        </w:rPr>
      </w:pPr>
      <w:r>
        <w:rPr>
          <w:rFonts w:hint="eastAsia"/>
          <w:color w:val="auto"/>
          <w:sz w:val="24"/>
          <w:szCs w:val="24"/>
          <w:highlight w:val="none"/>
        </w:rPr>
        <w:t xml:space="preserve">（6）成交后无正当理由拒不与采购人签订政府采购合同或者未按照磋商文件确定的事项签订政府采购合同的。</w:t>
      </w:r>
      <w:r/>
    </w:p>
    <w:p>
      <w:pPr>
        <w:ind w:firstLine="480"/>
        <w:jc w:val="left"/>
        <w:spacing w:line="500" w:lineRule="exact"/>
        <w:rPr>
          <w:color w:val="auto"/>
          <w:sz w:val="24"/>
          <w:szCs w:val="24"/>
          <w:highlight w:val="none"/>
        </w:rPr>
      </w:pPr>
      <w:r>
        <w:rPr>
          <w:rFonts w:hint="eastAsia"/>
          <w:color w:val="auto"/>
          <w:sz w:val="24"/>
          <w:szCs w:val="24"/>
          <w:highlight w:val="none"/>
        </w:rPr>
        <w:t xml:space="preserve">（7）将政府采购合同转包的。</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31、成交通知书</w:t>
      </w:r>
      <w:r/>
    </w:p>
    <w:p>
      <w:pPr>
        <w:ind w:firstLine="480"/>
        <w:jc w:val="left"/>
        <w:spacing w:line="500" w:lineRule="exact"/>
        <w:rPr>
          <w:color w:val="auto"/>
          <w:sz w:val="24"/>
          <w:szCs w:val="24"/>
          <w:highlight w:val="none"/>
        </w:rPr>
      </w:pPr>
      <w:r>
        <w:rPr>
          <w:rFonts w:hint="eastAsia"/>
          <w:color w:val="auto"/>
          <w:sz w:val="24"/>
          <w:szCs w:val="24"/>
          <w:highlight w:val="none"/>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31.3 成交人应在中标后七个工作日内，向代理机构各提供肆份与电子响应文件一致的纸质打印胶装响应文件，封面、骑缝需加盖公章。</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32、签订合同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32.2 磋商文件、成交供应商的响应文件及磋商采购过程中有关澄清、承诺、磋商响应等文件均应作为合同附件。</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500" w:lineRule="exact"/>
        <w:rPr>
          <w:rFonts w:hint="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32.4</w:t>
      </w:r>
      <w:r>
        <w:rPr>
          <w:rFonts w:hint="eastAsia" w:ascii="宋体" w:hAnsi="宋体" w:eastAsia="宋体" w:cs="Times New Roman"/>
          <w:color w:val="auto"/>
          <w:sz w:val="24"/>
          <w:szCs w:val="24"/>
          <w:highlight w:val="none"/>
        </w:rPr>
        <w:t xml:space="preserve">排</w:t>
      </w:r>
      <w:r>
        <w:rPr>
          <w:rFonts w:hint="eastAsia"/>
          <w:color w:val="auto"/>
          <w:sz w:val="24"/>
          <w:szCs w:val="24"/>
          <w:highlight w:val="none"/>
        </w:rPr>
        <w:t xml:space="preserve">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33、合同标的的追加</w:t>
      </w:r>
      <w:r/>
    </w:p>
    <w:p>
      <w:pPr>
        <w:ind w:firstLine="480"/>
        <w:jc w:val="left"/>
        <w:spacing w:line="500" w:lineRule="exact"/>
        <w:rPr>
          <w:color w:val="auto"/>
          <w:sz w:val="24"/>
          <w:szCs w:val="24"/>
          <w:highlight w:val="none"/>
        </w:rPr>
      </w:pPr>
      <w:r>
        <w:rPr>
          <w:rFonts w:hint="eastAsia"/>
          <w:color w:val="auto"/>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34、政府采购履约资金扶持政策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34.1 成交供应商可凭政府采购合同办理融资贷款，详情请见江苏政府采购网“政采贷”专栏。</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35、询问</w:t>
      </w:r>
      <w:r/>
    </w:p>
    <w:p>
      <w:pPr>
        <w:ind w:firstLine="480"/>
        <w:jc w:val="left"/>
        <w:spacing w:line="500" w:lineRule="exact"/>
        <w:rPr>
          <w:color w:val="auto"/>
          <w:sz w:val="24"/>
          <w:szCs w:val="24"/>
          <w:highlight w:val="none"/>
        </w:rPr>
      </w:pPr>
      <w:r>
        <w:rPr>
          <w:rFonts w:hint="eastAsia"/>
          <w:color w:val="auto"/>
          <w:sz w:val="24"/>
          <w:szCs w:val="24"/>
          <w:highlight w:val="none"/>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36、质疑提出</w:t>
      </w:r>
      <w:r/>
    </w:p>
    <w:p>
      <w:pPr>
        <w:ind w:firstLine="480"/>
        <w:jc w:val="left"/>
        <w:spacing w:line="500" w:lineRule="exact"/>
        <w:rPr>
          <w:color w:val="auto"/>
          <w:sz w:val="24"/>
          <w:szCs w:val="24"/>
          <w:highlight w:val="none"/>
        </w:rPr>
      </w:pPr>
      <w:r>
        <w:rPr>
          <w:rFonts w:hint="eastAsia"/>
          <w:color w:val="auto"/>
          <w:sz w:val="24"/>
          <w:szCs w:val="24"/>
          <w:highlight w:val="none"/>
        </w:rPr>
        <w:t xml:space="preserve">36.1 提出质疑的供应商应当是参与所质疑项目采购活动的供应商。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z w:val="24"/>
          <w:szCs w:val="24"/>
          <w:highlight w:val="none"/>
        </w:rPr>
      </w:pPr>
      <w:r>
        <w:rPr>
          <w:rFonts w:hint="eastAsia"/>
          <w:color w:val="auto"/>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color w:val="auto"/>
          <w:sz w:val="24"/>
          <w:szCs w:val="24"/>
          <w:highlight w:val="none"/>
        </w:rPr>
      </w:pPr>
      <w:r>
        <w:rPr>
          <w:rFonts w:hint="eastAsia"/>
          <w:color w:val="auto"/>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36.5 质疑函应当使用范本，详见磋商文件第六章。供应商提出质疑应当提交质疑函和必要的证明材料，应当包括下列内容：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500" w:lineRule="exact"/>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500" w:lineRule="exact"/>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500" w:lineRule="exact"/>
        <w:rPr>
          <w:color w:val="auto"/>
          <w:sz w:val="24"/>
          <w:szCs w:val="24"/>
          <w:highlight w:val="none"/>
        </w:rPr>
      </w:pPr>
      <w:r>
        <w:rPr>
          <w:rFonts w:hint="eastAsia"/>
          <w:color w:val="auto"/>
          <w:sz w:val="24"/>
          <w:szCs w:val="24"/>
          <w:highlight w:val="none"/>
        </w:rPr>
        <w:t xml:space="preserve">（4）事实依据；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（5）必要的法律依据；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（6）提出质疑的日期；</w:t>
      </w:r>
      <w:r/>
    </w:p>
    <w:p>
      <w:pPr>
        <w:ind w:firstLine="480"/>
        <w:jc w:val="left"/>
        <w:spacing w:line="500" w:lineRule="exact"/>
        <w:rPr>
          <w:color w:val="auto"/>
          <w:sz w:val="24"/>
          <w:szCs w:val="24"/>
          <w:highlight w:val="none"/>
        </w:rPr>
      </w:pPr>
      <w:r>
        <w:rPr>
          <w:rFonts w:hint="eastAsia"/>
          <w:color w:val="auto"/>
          <w:sz w:val="24"/>
          <w:szCs w:val="24"/>
          <w:highlight w:val="none"/>
        </w:rPr>
        <w:t xml:space="preserve">（7）必要的证明材料；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91"/>
        <w:ind w:firstLine="562"/>
        <w:jc w:val="left"/>
        <w:spacing w:before="0" w:after="0" w:line="360" w:lineRule="auto"/>
        <w:rPr>
          <w:color w:val="auto"/>
          <w:sz w:val="24"/>
          <w:szCs w:val="24"/>
          <w:highlight w:val="none"/>
        </w:rPr>
      </w:pPr>
      <w:r>
        <w:rPr>
          <w:rFonts w:hint="eastAsia"/>
          <w:color w:val="auto"/>
          <w:sz w:val="28"/>
          <w:szCs w:val="28"/>
          <w:highlight w:val="none"/>
        </w:rPr>
        <w:t xml:space="preserve">37、质疑函的受理和答复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37.3 对不符合质疑要求的，采购人、代理机构有权要求其补充必要的证明材料，质疑供应商未在法定时间内补充必要的证明材料的，视同放弃质疑。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37.4 以下情形的质疑依法不予受理：</w:t>
      </w:r>
      <w:r/>
    </w:p>
    <w:p>
      <w:pPr>
        <w:ind w:firstLine="480"/>
        <w:jc w:val="left"/>
        <w:spacing w:line="500" w:lineRule="exact"/>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（3）以传真、电子邮件等方式提交的非原件形式的质疑。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37.5 采购人、代理机构依法受理的质疑，将按照政府采购有关规定，在法定期限内作出答复。</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38、质疑处理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38.1 质疑供应商未按照法定程序进行质疑投诉的，视为一般失信行为。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38.2 质疑供应商不配合或者采取不正当手段干扰政府采购质疑、投诉处理工作的，视为一般失信行为。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38.3 质疑供应商投诉受理期间，就同一事项多头举报，干扰财政部门投诉处理的，视为一般失信行为。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38.4 质疑供应商在全国范围12个月内三次以上质疑查无实据的，视为一般失信行为。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38.6 质疑供应商在全国范围12个月内三次以上投诉查无实据的，视为严重失信行为。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38.7 未尽事宜，依照有关法律、法规执行。</w:t>
      </w:r>
      <w:r/>
    </w:p>
    <w:p>
      <w:pPr>
        <w:pStyle w:val="69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39、促进中小企业发展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color w:val="auto"/>
          <w:sz w:val="24"/>
          <w:szCs w:val="24"/>
          <w:highlight w:val="none"/>
          <w:lang w:val="en-US" w:eastAsia="zh-CN"/>
        </w:rPr>
        <w:t xml:space="preserve">专门面向</w:t>
      </w:r>
      <w:r>
        <w:rPr>
          <w:rFonts w:hint="eastAsia"/>
          <w:color w:val="auto"/>
          <w:sz w:val="24"/>
          <w:szCs w:val="24"/>
          <w:highlight w:val="none"/>
        </w:rPr>
        <w:t xml:space="preserve">小型企业、微型企业、监狱企业、残疾人福利性单位。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39.</w:t>
      </w:r>
      <w:r>
        <w:rPr>
          <w:rFonts w:hint="eastAsia"/>
          <w:color w:val="auto"/>
          <w:sz w:val="24"/>
          <w:szCs w:val="24"/>
          <w:highlight w:val="none"/>
          <w:lang w:val="en-US" w:eastAsia="zh-CN"/>
        </w:rPr>
        <w:t xml:space="preserve">2</w:t>
      </w:r>
      <w:r>
        <w:rPr>
          <w:rFonts w:hint="eastAsia"/>
          <w:color w:val="auto"/>
          <w:sz w:val="24"/>
          <w:szCs w:val="24"/>
          <w:highlight w:val="none"/>
        </w:rPr>
        <w:t xml:space="preserve"> </w:t>
      </w:r>
      <w:r>
        <w:rPr>
          <w:rFonts w:hint="eastAsia"/>
          <w:color w:val="auto"/>
          <w:sz w:val="24"/>
          <w:szCs w:val="24"/>
          <w:highlight w:val="none"/>
        </w:rPr>
        <w:t xml:space="preserve">参加本项目政府采购活动的供应商应当提供的材料</w:t>
      </w:r>
      <w:r>
        <w:rPr>
          <w:rFonts w:hint="eastAsia"/>
          <w:color w:val="auto"/>
          <w:sz w:val="24"/>
          <w:szCs w:val="24"/>
          <w:highlight w:val="none"/>
        </w:rPr>
        <w:t xml:space="preserve">： </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（1）供应商提供的服务全部由小型企业、微型企业</w:t>
      </w:r>
      <w:r>
        <w:rPr>
          <w:rFonts w:hint="eastAsia" w:eastAsia="宋体"/>
          <w:color w:val="auto"/>
          <w:sz w:val="24"/>
          <w:szCs w:val="24"/>
          <w:highlight w:val="none"/>
        </w:rPr>
        <w:t xml:space="preserve">承接的</w:t>
      </w:r>
      <w:r>
        <w:rPr>
          <w:rFonts w:hint="eastAsia"/>
          <w:color w:val="auto"/>
          <w:sz w:val="24"/>
          <w:szCs w:val="24"/>
          <w:highlight w:val="none"/>
        </w:rPr>
        <w:t xml:space="preserve">，提供《中小企业声明函》（第六章 响应件格式）。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w:t>
      </w:r>
      <w:r>
        <w:rPr>
          <w:rFonts w:hint="eastAsia"/>
          <w:color w:val="auto"/>
          <w:sz w:val="24"/>
          <w:szCs w:val="24"/>
          <w:highlight w:val="none"/>
          <w:lang w:val="en-US" w:eastAsia="zh-CN"/>
        </w:rPr>
        <w:t xml:space="preserve">3</w:t>
      </w:r>
      <w:r>
        <w:rPr>
          <w:rFonts w:hint="eastAsia"/>
          <w:color w:val="auto"/>
          <w:sz w:val="24"/>
          <w:szCs w:val="24"/>
          <w:highlight w:val="none"/>
        </w:rPr>
        <w:t xml:space="preserve"> 残疾人福利单位、监狱企业属于小型、微型企业的，不重复享受政策。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w:t>
      </w:r>
      <w:r>
        <w:rPr>
          <w:rFonts w:hint="eastAsia"/>
          <w:color w:val="auto"/>
          <w:sz w:val="24"/>
          <w:szCs w:val="24"/>
          <w:highlight w:val="none"/>
          <w:lang w:val="en-US" w:eastAsia="zh-CN"/>
        </w:rPr>
        <w:t xml:space="preserve">4</w:t>
      </w:r>
      <w:r>
        <w:rPr>
          <w:rFonts w:hint="eastAsia"/>
          <w:color w:val="auto"/>
          <w:sz w:val="24"/>
          <w:szCs w:val="24"/>
          <w:highlight w:val="none"/>
        </w:rPr>
        <w:t xml:space="preserve"> 享受扶持政策获得政府采购合同的，小微型企业不得将合同分包给大中型企业，中型企业不得将合同分包给大型企业。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w:t>
      </w:r>
      <w:r>
        <w:rPr>
          <w:rFonts w:hint="eastAsia"/>
          <w:color w:val="auto"/>
          <w:sz w:val="24"/>
          <w:szCs w:val="24"/>
          <w:highlight w:val="none"/>
          <w:lang w:val="en-US" w:eastAsia="zh-CN"/>
        </w:rPr>
        <w:t xml:space="preserve">5</w:t>
      </w: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40、支持绿色发展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pStyle w:val="691"/>
        <w:ind w:firstLine="562"/>
        <w:jc w:val="left"/>
        <w:spacing w:before="0" w:after="0" w:line="360" w:lineRule="auto"/>
        <w:rPr>
          <w:color w:val="auto"/>
          <w:sz w:val="28"/>
          <w:szCs w:val="28"/>
          <w:highlight w:val="none"/>
        </w:rPr>
      </w:pPr>
      <w:r>
        <w:rPr>
          <w:rFonts w:hint="eastAsia"/>
          <w:color w:val="auto"/>
          <w:sz w:val="28"/>
          <w:szCs w:val="28"/>
          <w:highlight w:val="none"/>
        </w:rPr>
        <w:t xml:space="preserve">41、政府采购需求标准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41.1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auto"/>
          <w:sz w:val="24"/>
          <w:szCs w:val="24"/>
          <w:highlight w:val="none"/>
        </w:rPr>
        <w:br w:type="page" w:clear="all"/>
      </w:r>
      <w:r/>
    </w:p>
    <w:p>
      <w:pPr>
        <w:pStyle w:val="689"/>
        <w:jc w:val="center"/>
        <w:spacing w:before="156" w:after="156" w:line="360" w:lineRule="auto"/>
        <w:rPr>
          <w:rFonts w:ascii="黑体" w:hAnsi="黑体" w:eastAsia="黑体"/>
          <w:b w:val="0"/>
          <w:color w:val="auto"/>
          <w:highlight w:val="none"/>
        </w:rPr>
      </w:pPr>
      <w:r/>
      <w:bookmarkStart w:id="4" w:name="_Toc20393"/>
      <w:r/>
      <w:bookmarkStart w:id="5" w:name="_Toc25859"/>
      <w:r/>
      <w:bookmarkStart w:id="6" w:name="_Toc22236"/>
      <w:r>
        <w:rPr>
          <w:rFonts w:hint="eastAsia" w:ascii="黑体" w:hAnsi="黑体" w:eastAsia="黑体"/>
          <w:b w:val="0"/>
          <w:color w:val="auto"/>
          <w:highlight w:val="none"/>
        </w:rPr>
        <w:t xml:space="preserve">第三章  合同文本</w:t>
      </w:r>
      <w:bookmarkEnd w:id="4"/>
      <w:r/>
      <w:bookmarkEnd w:id="5"/>
      <w:r/>
      <w:bookmarkEnd w:id="6"/>
      <w:r/>
      <w:r/>
    </w:p>
    <w:p>
      <w:pPr>
        <w:ind w:firstLine="480"/>
        <w:jc w:val="left"/>
        <w:spacing w:line="500" w:lineRule="exact"/>
        <w:rPr>
          <w:color w:val="auto"/>
          <w:sz w:val="24"/>
          <w:szCs w:val="24"/>
          <w:highlight w:val="none"/>
        </w:rPr>
      </w:pPr>
      <w:r>
        <w:rPr>
          <w:rFonts w:hint="eastAsia"/>
          <w:color w:val="auto"/>
          <w:sz w:val="24"/>
          <w:szCs w:val="24"/>
          <w:highlight w:val="none"/>
        </w:rPr>
        <w:t xml:space="preserve">（备注：以下为中标后签订本项目合同的通用条款，中标人不得提出实质性的修改，签订合同时请删除本条备注。）</w:t>
      </w:r>
      <w:r/>
    </w:p>
    <w:p>
      <w:pPr>
        <w:jc w:val="left"/>
        <w:spacing w:line="500" w:lineRule="exact"/>
        <w:rPr>
          <w:color w:val="auto"/>
          <w:sz w:val="24"/>
          <w:szCs w:val="24"/>
          <w:highlight w:val="none"/>
        </w:rPr>
      </w:pPr>
      <w:r>
        <w:rPr>
          <w:color w:val="auto"/>
          <w:sz w:val="24"/>
          <w:szCs w:val="24"/>
          <w:highlight w:val="none"/>
        </w:rPr>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连云港市政府采购合同（服务）</w:t>
      </w:r>
      <w:r/>
    </w:p>
    <w:p>
      <w:pPr>
        <w:jc w:val="center"/>
        <w:spacing w:line="500" w:lineRule="exact"/>
        <w:rPr>
          <w:rFonts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rPr>
          <w:rFonts w:hint="eastAsia" w:ascii="黑体" w:hAnsi="黑体" w:eastAsia="黑体"/>
          <w:color w:val="auto"/>
          <w:sz w:val="28"/>
          <w:szCs w:val="24"/>
          <w:highlight w:val="none"/>
          <w:lang w:eastAsia="zh-CN"/>
        </w:rPr>
        <w:t xml:space="preserve">JSZC-320700-ZQHJ-C2025-0064</w:t>
      </w:r>
      <w:r>
        <w:rPr>
          <w:rFonts w:hint="eastAsia" w:ascii="黑体" w:hAnsi="黑体" w:eastAsia="黑体"/>
          <w:color w:val="auto"/>
          <w:sz w:val="28"/>
          <w:szCs w:val="24"/>
          <w:highlight w:val="none"/>
        </w:rPr>
        <w:t xml:space="preserve">）</w:t>
      </w:r>
      <w:r/>
    </w:p>
    <w:p>
      <w:pPr>
        <w:jc w:val="left"/>
        <w:spacing w:line="500" w:lineRule="exact"/>
        <w:rPr>
          <w:color w:val="auto"/>
          <w:sz w:val="24"/>
          <w:szCs w:val="24"/>
          <w:highlight w:val="none"/>
        </w:rPr>
      </w:pPr>
      <w:r>
        <w:rPr>
          <w:rFonts w:hint="eastAsia"/>
          <w:color w:val="auto"/>
          <w:sz w:val="24"/>
          <w:szCs w:val="24"/>
          <w:highlight w:val="none"/>
        </w:rPr>
        <w:t xml:space="preserve">甲方：（买方）_________</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rPr>
        <w:t xml:space="preserve">项目（项目编号：             ）竞争性磋商采购的结果，签订本合同。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color w:val="auto"/>
          <w:sz w:val="24"/>
          <w:szCs w:val="24"/>
          <w:highlight w:val="none"/>
        </w:rPr>
      </w:pPr>
      <w:r>
        <w:rPr>
          <w:color w:val="auto"/>
          <w:sz w:val="24"/>
          <w:szCs w:val="24"/>
          <w:highlight w:val="none"/>
        </w:rPr>
        <w:t xml:space="preserve">1.1 服务内容：</w:t>
      </w:r>
      <w:r>
        <w:rPr>
          <w:color w:val="auto"/>
          <w:sz w:val="24"/>
          <w:szCs w:val="24"/>
          <w:highlight w:val="none"/>
          <w:u w:val="single"/>
        </w:rPr>
        <w:t xml:space="preserve">      </w:t>
      </w:r>
      <w:r>
        <w:rPr>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1.2 服务要求：</w:t>
      </w:r>
      <w:r>
        <w:rPr>
          <w:color w:val="auto"/>
          <w:sz w:val="24"/>
          <w:szCs w:val="24"/>
          <w:highlight w:val="none"/>
          <w:u w:val="single"/>
        </w:rPr>
        <w:t xml:space="preserve">      </w:t>
      </w:r>
      <w:r>
        <w:rPr>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1.3 服务标准：</w:t>
      </w:r>
      <w:r>
        <w:rPr>
          <w:color w:val="auto"/>
          <w:sz w:val="24"/>
          <w:szCs w:val="24"/>
          <w:highlight w:val="none"/>
          <w:u w:val="single"/>
        </w:rPr>
        <w:t xml:space="preserve">      </w:t>
      </w:r>
      <w:r>
        <w:rPr>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补充条款：</w:t>
      </w:r>
      <w:r>
        <w:rPr>
          <w:color w:val="auto"/>
          <w:sz w:val="24"/>
          <w:szCs w:val="24"/>
          <w:highlight w:val="none"/>
          <w:u w:val="single"/>
        </w:rPr>
        <w:t xml:space="preserve">      </w:t>
      </w:r>
      <w:r>
        <w:rPr>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三、技术资料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3.1 乙方应按采购文件规定的时间向甲方提供有关技术资料。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本合同不收取履约保证金。</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八、服务时间</w:t>
      </w:r>
      <w:r/>
    </w:p>
    <w:p>
      <w:pPr>
        <w:ind w:firstLine="480"/>
        <w:jc w:val="left"/>
        <w:spacing w:line="500" w:lineRule="exact"/>
        <w:rPr>
          <w:rFonts w:ascii="黑体" w:hAnsi="黑体" w:eastAsia="黑体"/>
          <w:color w:val="auto"/>
          <w:sz w:val="24"/>
          <w:szCs w:val="24"/>
          <w:highlight w:val="none"/>
        </w:rPr>
      </w:pPr>
      <w:r>
        <w:rPr>
          <w:rFonts w:hint="eastAsia"/>
          <w:color w:val="auto"/>
          <w:sz w:val="24"/>
          <w:szCs w:val="24"/>
          <w:highlight w:val="none"/>
        </w:rPr>
        <w:t xml:space="preserve">8.1 服务时间：</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ascii="黑体" w:hAnsi="黑体" w:eastAsia="黑体"/>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九、合同内容的交付</w:t>
      </w:r>
      <w:r/>
    </w:p>
    <w:p>
      <w:pPr>
        <w:ind w:firstLine="480"/>
        <w:jc w:val="left"/>
        <w:spacing w:line="500" w:lineRule="exact"/>
        <w:rPr>
          <w:color w:val="auto"/>
          <w:sz w:val="24"/>
          <w:szCs w:val="24"/>
          <w:highlight w:val="none"/>
        </w:rPr>
      </w:pPr>
      <w:r>
        <w:rPr>
          <w:rFonts w:hint="eastAsia"/>
          <w:color w:val="auto"/>
          <w:sz w:val="24"/>
          <w:szCs w:val="24"/>
          <w:highlight w:val="none"/>
        </w:rPr>
        <w:t xml:space="preserve">9.1 交 付 期：_________。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9.2 交付方式：</w:t>
      </w:r>
      <w:r>
        <w:rPr>
          <w:rFonts w:hint="eastAsia"/>
          <w:color w:val="auto"/>
          <w:sz w:val="24"/>
          <w:szCs w:val="24"/>
          <w:highlight w:val="none"/>
          <w:u w:val="single"/>
        </w:rPr>
        <w:t xml:space="preserve">项目需求单位指定方式。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9.3 交付地点：</w:t>
      </w:r>
      <w:r>
        <w:rPr>
          <w:rFonts w:hint="eastAsia"/>
          <w:color w:val="auto"/>
          <w:sz w:val="24"/>
          <w:szCs w:val="24"/>
          <w:highlight w:val="none"/>
          <w:u w:val="single"/>
        </w:rPr>
        <w:t xml:space="preserve">项目需求单位指定地点。</w:t>
      </w:r>
      <w:r/>
    </w:p>
    <w:p>
      <w:pPr>
        <w:ind w:firstLine="480"/>
        <w:jc w:val="left"/>
        <w:spacing w:line="500" w:lineRule="exact"/>
        <w:rPr>
          <w:color w:val="auto"/>
          <w:sz w:val="24"/>
          <w:szCs w:val="24"/>
          <w:highlight w:val="none"/>
        </w:rPr>
      </w:pPr>
      <w:r>
        <w:rPr>
          <w:color w:val="auto"/>
          <w:sz w:val="24"/>
          <w:szCs w:val="24"/>
          <w:highlight w:val="none"/>
        </w:rPr>
        <w:t xml:space="preserve">9.4</w:t>
      </w:r>
      <w:r>
        <w:rPr>
          <w:rFonts w:hint="eastAsia"/>
          <w:color w:val="auto"/>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color w:val="auto"/>
          <w:sz w:val="24"/>
          <w:szCs w:val="24"/>
          <w:highlight w:val="none"/>
        </w:rPr>
      </w:pPr>
      <w:r>
        <w:rPr>
          <w:color w:val="auto"/>
          <w:sz w:val="24"/>
          <w:szCs w:val="24"/>
          <w:highlight w:val="none"/>
        </w:rPr>
        <w:t xml:space="preserve">9.5</w:t>
      </w:r>
      <w:r>
        <w:rPr>
          <w:rFonts w:hint="eastAsia"/>
          <w:color w:val="auto"/>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十、合同款支付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10.1 付款方式：_________。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11.1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十二、质量保证及售后服务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乙方应按采购文件规定和响应文件承诺的性能、技术要求、质量标准向甲方提供产品或服务。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（1）更换：由乙方承担所产生的全部费用。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12.3 如在使用过程中发生质量问题，乙方在接到甲方通知后</w:t>
      </w:r>
      <w:r>
        <w:rPr>
          <w:rFonts w:hint="eastAsia"/>
          <w:color w:val="auto"/>
          <w:sz w:val="24"/>
          <w:szCs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500" w:lineRule="exact"/>
        <w:rPr>
          <w:color w:val="auto"/>
          <w:sz w:val="24"/>
          <w:szCs w:val="24"/>
          <w:highlight w:val="none"/>
        </w:rPr>
      </w:pPr>
      <w:r>
        <w:rPr>
          <w:rFonts w:hint="eastAsia"/>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13.5 甲方成立验收小组，按照采购合同的约定对乙方的履约情况进行验收。验收时间、验收标准见采购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auto"/>
          <w:sz w:val="24"/>
          <w:highlight w:val="none"/>
        </w:rPr>
        <w:t xml:space="preserve">中华人民共和国民法典</w:t>
      </w:r>
      <w:r>
        <w:rPr>
          <w:rFonts w:hint="eastAsia"/>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十四、违约责任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14.1 甲方无正当理由拒收的，甲方向乙方偿付拒收标的总额</w:t>
      </w:r>
      <w:r>
        <w:rPr>
          <w:rFonts w:hint="eastAsia"/>
          <w:color w:val="auto"/>
          <w:sz w:val="24"/>
          <w:szCs w:val="24"/>
          <w:highlight w:val="none"/>
          <w:u w:val="single"/>
        </w:rPr>
        <w:t xml:space="preserve"> 百分之五 </w:t>
      </w:r>
      <w:r>
        <w:rPr>
          <w:rFonts w:hint="eastAsia"/>
          <w:color w:val="auto"/>
          <w:sz w:val="24"/>
          <w:szCs w:val="24"/>
          <w:highlight w:val="none"/>
        </w:rPr>
        <w:t xml:space="preserve">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14.2 甲方无故逾期验收和办理合同款支付手续的，甲方应按逾期付款总额每日</w:t>
      </w:r>
      <w:r>
        <w:rPr>
          <w:rFonts w:hint="eastAsia"/>
          <w:color w:val="auto"/>
          <w:sz w:val="24"/>
          <w:szCs w:val="24"/>
          <w:highlight w:val="none"/>
          <w:u w:val="single"/>
        </w:rPr>
        <w:t xml:space="preserve"> 万分之五 </w:t>
      </w:r>
      <w:r>
        <w:rPr>
          <w:rFonts w:hint="eastAsia"/>
          <w:color w:val="auto"/>
          <w:sz w:val="24"/>
          <w:szCs w:val="24"/>
          <w:highlight w:val="none"/>
        </w:rPr>
        <w:t xml:space="preserve">向乙方支付违约金。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14.3 乙方逾期交付合同标的的，乙方应按逾期交付总额每日</w:t>
      </w:r>
      <w:r>
        <w:rPr>
          <w:rFonts w:hint="eastAsia"/>
          <w:color w:val="auto"/>
          <w:sz w:val="24"/>
          <w:szCs w:val="24"/>
          <w:highlight w:val="none"/>
          <w:u w:val="single"/>
        </w:rPr>
        <w:t xml:space="preserve"> 千分之六 </w:t>
      </w:r>
      <w:r>
        <w:rPr>
          <w:rFonts w:hint="eastAsia"/>
          <w:color w:val="auto"/>
          <w:sz w:val="24"/>
          <w:szCs w:val="24"/>
          <w:highlight w:val="none"/>
        </w:rPr>
        <w:t xml:space="preserve">向甲方支付违约金，由甲方从待付合同款中扣除。逾期超过约定日期</w:t>
      </w:r>
      <w:r>
        <w:rPr>
          <w:rFonts w:hint="eastAsia"/>
          <w:color w:val="auto"/>
          <w:sz w:val="24"/>
          <w:szCs w:val="24"/>
          <w:highlight w:val="none"/>
          <w:u w:val="single"/>
        </w:rPr>
        <w:t xml:space="preserve"> 10个工作日 </w:t>
      </w:r>
      <w:r>
        <w:rPr>
          <w:rFonts w:hint="eastAsia"/>
          <w:color w:val="auto"/>
          <w:sz w:val="24"/>
          <w:szCs w:val="24"/>
          <w:highlight w:val="none"/>
        </w:rPr>
        <w:t xml:space="preserve">不能交付的，甲方可解除本合同。乙方因逾期交付或因其他违约行为导致甲方解除合同的，乙方应向甲方支付合同总额</w:t>
      </w:r>
      <w:r>
        <w:rPr>
          <w:rFonts w:hint="eastAsia"/>
          <w:color w:val="auto"/>
          <w:sz w:val="24"/>
          <w:szCs w:val="24"/>
          <w:highlight w:val="none"/>
          <w:u w:val="single"/>
        </w:rPr>
        <w:t xml:space="preserve"> 百分之五 </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14.4 乙方交付的产品或服务不符合采购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十五、不可抗力事件处理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15.2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十六、解决争议的方法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16.1 甲乙双方因合同签订、履行而发生的一切争议，应通过友好协商解决。如协商不成，按下列第</w:t>
      </w:r>
      <w:r>
        <w:rPr>
          <w:rFonts w:hint="eastAsia"/>
          <w:color w:val="auto"/>
          <w:sz w:val="24"/>
          <w:szCs w:val="24"/>
          <w:highlight w:val="none"/>
          <w:u w:val="single"/>
        </w:rPr>
        <w:t xml:space="preserve">（2）</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（1）向连云港仲裁委员会申请仲裁。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（2）向合同签订地法院起诉，合同签订地在此约定为连云港市。</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十七、保密条款</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17.1 未经甲方的事先书面批准，乙方不得以任何形式或任何方式将实施过程中接触到的信息和/或其中的任何部分，披露或透露给任何第三方。乙方有义务妥善保管保密信息，不得复制、泄漏或遗失。乙方亦不得依据保密信息，就任何问题，向任何第三方做出任何建议。</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17.2 本保密条款在双方合作项目变更、解除、终止后十年内依然有效。本保密协议效力不因双方合作项目主协议的无效、撤销或变更而改变。甲方保留在甲方认为必要的情况下收回所提供的保密信息及其使用权的权利。</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17.3 如任何一方违反本协议，违约方应按照《中华人民共和国民法典》的相关规定承担违约责任，另一方有权根据其违反的程度以及造成的损害后果要求对方赔偿因此遭受的损失。</w:t>
      </w:r>
      <w:r/>
    </w:p>
    <w:p>
      <w:pPr>
        <w:pStyle w:val="922"/>
        <w:rPr>
          <w:color w:val="auto"/>
          <w:highlight w:val="none"/>
        </w:rPr>
      </w:pPr>
      <w:r>
        <w:rPr>
          <w:color w:val="auto"/>
          <w:highlight w:val="none"/>
        </w:rPr>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十八、合同生效及其他</w:t>
      </w:r>
      <w:r/>
    </w:p>
    <w:p>
      <w:pPr>
        <w:ind w:firstLine="480"/>
        <w:jc w:val="left"/>
        <w:spacing w:line="500" w:lineRule="exact"/>
        <w:rPr>
          <w:color w:val="auto"/>
          <w:sz w:val="24"/>
          <w:szCs w:val="24"/>
          <w:highlight w:val="none"/>
        </w:rPr>
      </w:pPr>
      <w:r>
        <w:rPr>
          <w:color w:val="auto"/>
          <w:sz w:val="24"/>
          <w:szCs w:val="24"/>
          <w:highlight w:val="none"/>
        </w:rPr>
        <w:t xml:space="preserve">18.1 </w:t>
      </w:r>
      <w:r>
        <w:rPr>
          <w:rFonts w:hint="eastAsia"/>
          <w:color w:val="auto"/>
          <w:sz w:val="24"/>
          <w:szCs w:val="24"/>
          <w:highlight w:val="none"/>
        </w:rPr>
        <w:t xml:space="preserve">合同经双方法定代表人或授权代表签字并加盖单位公章后生效。</w:t>
      </w:r>
      <w:r/>
    </w:p>
    <w:p>
      <w:pPr>
        <w:ind w:firstLine="480"/>
        <w:jc w:val="left"/>
        <w:spacing w:line="500" w:lineRule="exact"/>
        <w:rPr>
          <w:color w:val="auto"/>
          <w:sz w:val="24"/>
          <w:szCs w:val="24"/>
          <w:highlight w:val="none"/>
        </w:rPr>
      </w:pPr>
      <w:r>
        <w:rPr>
          <w:color w:val="auto"/>
          <w:sz w:val="24"/>
          <w:szCs w:val="24"/>
          <w:highlight w:val="none"/>
        </w:rPr>
        <w:t xml:space="preserve">18.2 </w:t>
      </w:r>
      <w:r>
        <w:rPr>
          <w:rFonts w:hint="eastAsia"/>
          <w:color w:val="auto"/>
          <w:sz w:val="24"/>
          <w:szCs w:val="24"/>
          <w:highlight w:val="none"/>
        </w:rPr>
        <w:t xml:space="preserve">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color w:val="auto"/>
          <w:sz w:val="24"/>
          <w:szCs w:val="24"/>
          <w:highlight w:val="none"/>
        </w:rPr>
        <w:t xml:space="preserve">18.3 </w:t>
      </w:r>
      <w:r>
        <w:rPr>
          <w:rFonts w:hint="eastAsia"/>
          <w:color w:val="auto"/>
          <w:sz w:val="24"/>
          <w:szCs w:val="24"/>
          <w:highlight w:val="none"/>
        </w:rPr>
        <w:t xml:space="preserve">本合同正本一式</w:t>
      </w:r>
      <w:r>
        <w:rPr>
          <w:color w:val="auto"/>
          <w:sz w:val="24"/>
          <w:szCs w:val="24"/>
          <w:highlight w:val="none"/>
          <w:u w:val="single"/>
        </w:rPr>
        <w:t xml:space="preserve">   </w:t>
      </w:r>
      <w:r>
        <w:rPr>
          <w:rFonts w:hint="eastAsia"/>
          <w:color w:val="auto"/>
          <w:sz w:val="24"/>
          <w:szCs w:val="24"/>
          <w:highlight w:val="none"/>
        </w:rPr>
        <w:t xml:space="preserve">份，具有同等法律效力，甲方执</w:t>
      </w:r>
      <w:r>
        <w:rPr>
          <w:color w:val="auto"/>
          <w:sz w:val="24"/>
          <w:szCs w:val="24"/>
          <w:highlight w:val="none"/>
          <w:u w:val="single"/>
        </w:rPr>
        <w:t xml:space="preserve">   </w:t>
      </w:r>
      <w:r>
        <w:rPr>
          <w:rFonts w:hint="eastAsia"/>
          <w:color w:val="auto"/>
          <w:sz w:val="24"/>
          <w:szCs w:val="24"/>
          <w:highlight w:val="none"/>
        </w:rPr>
        <w:t xml:space="preserve">份、乙方执</w:t>
      </w:r>
      <w:r>
        <w:rPr>
          <w:color w:val="auto"/>
          <w:sz w:val="24"/>
          <w:szCs w:val="24"/>
          <w:highlight w:val="none"/>
          <w:u w:val="single"/>
        </w:rPr>
        <w:t xml:space="preserve">   </w:t>
      </w:r>
      <w:r>
        <w:rPr>
          <w:rFonts w:hint="eastAsia"/>
          <w:color w:val="auto"/>
          <w:sz w:val="24"/>
          <w:szCs w:val="24"/>
          <w:highlight w:val="none"/>
        </w:rPr>
        <w:t xml:space="preserve">份，甲方报一份至政府采购监督管理部门。</w:t>
      </w:r>
      <w:r/>
    </w:p>
    <w:p>
      <w:pPr>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w:t>
      </w:r>
      <w:r>
        <w:rPr>
          <w:color w:val="auto"/>
          <w:sz w:val="24"/>
          <w:szCs w:val="24"/>
          <w:highlight w:val="none"/>
        </w:rPr>
        <w:t xml:space="preserve">                        </w:t>
      </w:r>
      <w:r>
        <w:rPr>
          <w:rFonts w:hint="eastAsia"/>
          <w:color w:val="auto"/>
          <w:sz w:val="24"/>
          <w:szCs w:val="24"/>
          <w:highlight w:val="none"/>
        </w:rPr>
        <w:t xml:space="preserve">乙方：</w:t>
      </w:r>
      <w:r>
        <w:rPr>
          <w:color w:val="auto"/>
          <w:sz w:val="24"/>
          <w:szCs w:val="24"/>
          <w:highlight w:val="none"/>
        </w:rPr>
        <w:t xml:space="preserve">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w:t>
      </w:r>
      <w:r>
        <w:rPr>
          <w:color w:val="auto"/>
          <w:sz w:val="24"/>
          <w:szCs w:val="24"/>
          <w:highlight w:val="none"/>
        </w:rPr>
        <w:t xml:space="preserve">                        </w:t>
      </w:r>
      <w:r>
        <w:rPr>
          <w:rFonts w:hint="eastAsia"/>
          <w:color w:val="auto"/>
          <w:sz w:val="24"/>
          <w:szCs w:val="24"/>
          <w:highlight w:val="none"/>
        </w:rPr>
        <w:t xml:space="preserve">地址：</w:t>
      </w:r>
      <w:r>
        <w:rPr>
          <w:color w:val="auto"/>
          <w:sz w:val="24"/>
          <w:szCs w:val="24"/>
          <w:highlight w:val="none"/>
        </w:rPr>
        <w:t xml:space="preserve">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w:t>
      </w:r>
      <w:r>
        <w:rPr>
          <w:color w:val="auto"/>
          <w:sz w:val="24"/>
          <w:szCs w:val="24"/>
          <w:highlight w:val="none"/>
        </w:rPr>
        <w:t xml:space="preserve">        </w:t>
      </w:r>
      <w:r>
        <w:rPr>
          <w:rFonts w:hint="eastAsia"/>
          <w:color w:val="auto"/>
          <w:sz w:val="24"/>
          <w:szCs w:val="24"/>
          <w:highlight w:val="none"/>
        </w:rPr>
        <w:t xml:space="preserve">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w:t>
      </w:r>
      <w:r>
        <w:rPr>
          <w:color w:val="auto"/>
          <w:sz w:val="24"/>
          <w:szCs w:val="24"/>
          <w:highlight w:val="none"/>
        </w:rPr>
        <w:t xml:space="preserve">                    </w:t>
      </w:r>
      <w:r>
        <w:rPr>
          <w:rFonts w:hint="eastAsia"/>
          <w:color w:val="auto"/>
          <w:sz w:val="24"/>
          <w:szCs w:val="24"/>
          <w:highlight w:val="none"/>
        </w:rPr>
        <w:t xml:space="preserve">联系电话：</w:t>
      </w:r>
      <w:r>
        <w:rPr>
          <w:color w:val="auto"/>
          <w:sz w:val="24"/>
          <w:szCs w:val="24"/>
          <w:highlight w:val="none"/>
        </w:rPr>
        <w:t xml:space="preserve">     </w:t>
      </w:r>
      <w:r/>
    </w:p>
    <w:p>
      <w:pPr>
        <w:ind w:firstLine="480"/>
        <w:jc w:val="right"/>
        <w:spacing w:line="520" w:lineRule="exact"/>
        <w:rPr>
          <w:rFonts w:ascii="宋体" w:hAnsi="宋体" w:eastAsia="宋体" w:cs="宋体"/>
          <w:color w:val="auto"/>
          <w:sz w:val="24"/>
          <w:szCs w:val="24"/>
          <w:highlight w:val="none"/>
        </w:rPr>
      </w:pPr>
      <w:r>
        <w:rPr>
          <w:rFonts w:hint="eastAsia"/>
          <w:color w:val="auto"/>
          <w:sz w:val="24"/>
          <w:szCs w:val="24"/>
          <w:highlight w:val="none"/>
        </w:rPr>
        <w:t xml:space="preserve">签订日期：</w:t>
      </w:r>
      <w:r>
        <w:rPr>
          <w:color w:val="auto"/>
          <w:sz w:val="24"/>
          <w:szCs w:val="24"/>
          <w:highlight w:val="none"/>
        </w:rPr>
        <w:t xml:space="preserve">       </w:t>
      </w:r>
      <w:r>
        <w:rPr>
          <w:rFonts w:hint="eastAsia"/>
          <w:color w:val="auto"/>
          <w:sz w:val="24"/>
          <w:szCs w:val="24"/>
          <w:highlight w:val="none"/>
        </w:rPr>
        <w:t xml:space="preserve">年</w:t>
      </w:r>
      <w:r>
        <w:rPr>
          <w:color w:val="auto"/>
          <w:sz w:val="24"/>
          <w:szCs w:val="24"/>
          <w:highlight w:val="none"/>
        </w:rPr>
        <w:t xml:space="preserve">    </w:t>
      </w:r>
      <w:r>
        <w:rPr>
          <w:rFonts w:hint="eastAsia"/>
          <w:color w:val="auto"/>
          <w:sz w:val="24"/>
          <w:szCs w:val="24"/>
          <w:highlight w:val="none"/>
        </w:rPr>
        <w:t xml:space="preserve">月</w:t>
      </w:r>
      <w:r>
        <w:rPr>
          <w:color w:val="auto"/>
          <w:sz w:val="24"/>
          <w:szCs w:val="24"/>
          <w:highlight w:val="none"/>
        </w:rPr>
        <w:t xml:space="preserve">    </w:t>
      </w:r>
      <w:r>
        <w:rPr>
          <w:rFonts w:hint="eastAsia"/>
          <w:color w:val="auto"/>
          <w:sz w:val="24"/>
          <w:szCs w:val="24"/>
          <w:highlight w:val="none"/>
        </w:rPr>
        <w:t xml:space="preserve">日</w:t>
      </w:r>
      <w:r/>
    </w:p>
    <w:p>
      <w:pPr>
        <w:pStyle w:val="689"/>
        <w:jc w:val="center"/>
        <w:spacing w:before="156" w:after="156" w:line="360" w:lineRule="auto"/>
        <w:rPr>
          <w:rFonts w:ascii="黑体" w:hAnsi="黑体" w:eastAsia="黑体"/>
          <w:b w:val="0"/>
          <w:color w:val="auto"/>
          <w:highlight w:val="none"/>
        </w:rPr>
      </w:pPr>
      <w:r>
        <w:rPr>
          <w:rFonts w:ascii="黑体" w:hAnsi="黑体" w:eastAsia="黑体"/>
          <w:b w:val="0"/>
          <w:color w:val="auto"/>
          <w:highlight w:val="none"/>
        </w:rPr>
      </w:r>
      <w:r/>
    </w:p>
    <w:p>
      <w:pPr>
        <w:pStyle w:val="689"/>
        <w:spacing w:before="156" w:after="156" w:line="360" w:lineRule="auto"/>
        <w:rPr>
          <w:rFonts w:ascii="黑体" w:hAnsi="黑体" w:eastAsia="黑体"/>
          <w:b w:val="0"/>
          <w:color w:val="auto"/>
          <w:highlight w:val="none"/>
        </w:rPr>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ascii="黑体" w:hAnsi="黑体" w:eastAsia="黑体"/>
          <w:b w:val="0"/>
          <w:color w:val="auto"/>
          <w:highlight w:val="none"/>
        </w:rPr>
      </w:r>
      <w:r/>
    </w:p>
    <w:p>
      <w:pPr>
        <w:jc w:val="center"/>
        <w:keepNext/>
        <w:rPr>
          <w:rFonts w:ascii="黑体" w:eastAsia="黑体" w:cs="Times New Roman"/>
          <w:color w:val="auto"/>
          <w:sz w:val="44"/>
          <w:szCs w:val="44"/>
          <w:highlight w:val="none"/>
        </w:rPr>
        <w:outlineLvl w:val="0"/>
      </w:pPr>
      <w:r/>
      <w:bookmarkStart w:id="7" w:name="_Toc30353"/>
      <w:r/>
      <w:bookmarkStart w:id="8" w:name="_Toc3829"/>
      <w:r>
        <w:rPr>
          <w:rFonts w:hint="eastAsia" w:ascii="黑体" w:hAnsi="黑体" w:eastAsia="黑体"/>
          <w:color w:val="auto"/>
          <w:sz w:val="44"/>
          <w:szCs w:val="44"/>
          <w:highlight w:val="none"/>
        </w:rPr>
        <w:t xml:space="preserve">第四章</w:t>
      </w:r>
      <w:r>
        <w:rPr>
          <w:rFonts w:hint="eastAsia" w:ascii="黑体" w:hAnsi="黑体" w:eastAsia="黑体"/>
          <w:color w:val="auto"/>
          <w:highlight w:val="none"/>
        </w:rPr>
        <w:t xml:space="preserve"> </w:t>
      </w:r>
      <w:r>
        <w:rPr>
          <w:rFonts w:hint="eastAsia" w:ascii="黑体" w:eastAsia="黑体" w:cs="Times New Roman"/>
          <w:color w:val="auto"/>
          <w:sz w:val="44"/>
          <w:szCs w:val="44"/>
          <w:highlight w:val="none"/>
        </w:rPr>
        <w:t xml:space="preserve">项目需求</w:t>
      </w:r>
      <w:bookmarkEnd w:id="7"/>
      <w:r/>
      <w:bookmarkEnd w:id="8"/>
      <w:r/>
      <w:r/>
    </w:p>
    <w:p>
      <w:pPr>
        <w:ind w:firstLine="480"/>
        <w:jc w:val="left"/>
        <w:spacing w:line="500" w:lineRule="exact"/>
        <w:rPr>
          <w:color w:val="auto"/>
          <w:sz w:val="24"/>
          <w:szCs w:val="24"/>
          <w:highlight w:val="none"/>
        </w:rPr>
      </w:pPr>
      <w:r>
        <w:rPr>
          <w:rFonts w:hint="eastAsia"/>
          <w:color w:val="auto"/>
          <w:sz w:val="24"/>
          <w:szCs w:val="24"/>
          <w:highlight w:val="none"/>
        </w:rPr>
        <w:t xml:space="preserve">说明：本项目采购方式为竞争性磋商，项目属性为服务，采购标的对应的企业划分标准所属行业为</w:t>
      </w:r>
      <w:r>
        <w:rPr>
          <w:rFonts w:hint="eastAsia"/>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其他未列明行业</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ascii="宋体" w:hAnsi="宋体" w:eastAsia="宋体" w:cs="Times New Roman"/>
          <w:bCs/>
          <w:color w:val="auto"/>
          <w:sz w:val="24"/>
          <w:szCs w:val="24"/>
          <w:highlight w:val="none"/>
        </w:rPr>
        <w:t xml:space="preserve">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1、根据《政府采购需求管理办法》等有关规定，采购人确定采购需求。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b/>
          <w:color w:val="auto"/>
          <w:sz w:val="24"/>
          <w:szCs w:val="24"/>
          <w:highlight w:val="none"/>
        </w:rPr>
        <w:t xml:space="preserve">本磋商文件中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，由采购人根据实际情况设置，供应商须逐条明确作出满足实质性要求和条件的响应，否则将按无效响应处理。</w:t>
      </w:r>
      <w:r/>
    </w:p>
    <w:tbl>
      <w:tblPr>
        <w:tblStyle w:val="729"/>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8682"/>
      </w:tblGrid>
      <w:tr>
        <w:trPr>
          <w:jc w:val="center"/>
        </w:trPr>
        <w:tc>
          <w:tcPr>
            <w:gridSpan w:val="2"/>
            <w:tcBorders>
              <w:top w:val="none" w:color="000000" w:sz="4" w:space="0"/>
              <w:left w:val="none" w:color="000000" w:sz="4" w:space="0"/>
              <w:bottom w:val="single" w:color="auto" w:sz="4" w:space="0"/>
              <w:right w:val="none" w:color="000000" w:sz="4" w:space="0"/>
            </w:tcBorders>
            <w:tcW w:w="9498"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tcBorders>
            <w:tcW w:w="8682"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p>
        </w:tc>
      </w:tr>
      <w:tr>
        <w:trPr>
          <w:jc w:val="center"/>
          <w:trHeight w:val="370"/>
        </w:trPr>
        <w:tc>
          <w:tcPr>
            <w:tcW w:w="816"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682" w:type="dxa"/>
            <w:textDirection w:val="lrTb"/>
            <w:noWrap w:val="false"/>
          </w:tcPr>
          <w:p>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合同履行期限：自合同签订之日起至2026年</w:t>
            </w:r>
            <w:r>
              <w:rPr>
                <w:rFonts w:hint="eastAsia" w:ascii="宋体" w:hAnsi="宋体" w:eastAsia="宋体" w:cs="宋体"/>
                <w:b/>
                <w:bCs/>
                <w:i/>
                <w:iCs/>
                <w:color w:val="auto"/>
                <w:sz w:val="24"/>
                <w:szCs w:val="24"/>
                <w:highlight w:val="none"/>
                <w:u w:val="single"/>
                <w:lang w:val="en-US" w:eastAsia="zh-CN"/>
              </w:rPr>
              <w:t xml:space="preserve">12</w:t>
            </w:r>
            <w:r>
              <w:rPr>
                <w:rFonts w:hint="eastAsia" w:ascii="宋体" w:hAnsi="宋体" w:eastAsia="宋体" w:cs="宋体"/>
                <w:b/>
                <w:bCs/>
                <w:i/>
                <w:iCs/>
                <w:color w:val="auto"/>
                <w:sz w:val="24"/>
                <w:szCs w:val="24"/>
                <w:highlight w:val="none"/>
                <w:u w:val="single"/>
              </w:rPr>
              <w:t xml:space="preserve">月3</w:t>
            </w: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rPr>
              <w:t xml:space="preserve">日。</w:t>
            </w:r>
            <w:r/>
          </w:p>
        </w:tc>
      </w:tr>
      <w:tr>
        <w:trPr>
          <w:jc w:val="center"/>
          <w:trHeight w:val="370"/>
        </w:trPr>
        <w:tc>
          <w:tcPr>
            <w:shd w:val="clear" w:color="auto" w:fill="auto"/>
            <w:tcW w:w="816" w:type="dxa"/>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682" w:type="dxa"/>
            <w:textDirection w:val="lrTb"/>
            <w:noWrap w:val="false"/>
          </w:tcPr>
          <w:p>
            <w:pPr>
              <w:pStyle w:val="726"/>
              <w:jc w:val="both"/>
              <w:spacing w:beforeAutospacing="0" w:afterAutospacing="0" w:line="360" w:lineRule="auto"/>
              <w:widowControl/>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合同签订后，甲方向乙方支付至合同总金额的</w:t>
            </w:r>
            <w:r>
              <w:rPr>
                <w:rFonts w:hint="eastAsia" w:ascii="宋体" w:hAnsi="宋体" w:eastAsia="宋体" w:cs="宋体"/>
                <w:b/>
                <w:bCs/>
                <w:i/>
                <w:iCs/>
                <w:color w:val="auto"/>
                <w:sz w:val="24"/>
                <w:szCs w:val="24"/>
                <w:highlight w:val="none"/>
                <w:u w:val="single"/>
                <w:lang w:val="en-US" w:eastAsia="zh-CN"/>
              </w:rPr>
              <w:t xml:space="preserve">3</w:t>
            </w:r>
            <w:r>
              <w:rPr>
                <w:rFonts w:hint="eastAsia" w:ascii="宋体" w:hAnsi="宋体" w:eastAsia="宋体" w:cs="宋体"/>
                <w:b/>
                <w:bCs/>
                <w:i/>
                <w:iCs/>
                <w:color w:val="auto"/>
                <w:sz w:val="24"/>
                <w:szCs w:val="24"/>
                <w:highlight w:val="none"/>
                <w:u w:val="single"/>
              </w:rPr>
              <w:t xml:space="preserve">0%；乙方完成成果论证后由甲方向乙方支付至合同总金额的</w:t>
            </w:r>
            <w:r>
              <w:rPr>
                <w:rFonts w:hint="eastAsia" w:ascii="宋体" w:hAnsi="宋体" w:eastAsia="宋体" w:cs="宋体"/>
                <w:b/>
                <w:bCs/>
                <w:i/>
                <w:iCs/>
                <w:color w:val="auto"/>
                <w:sz w:val="24"/>
                <w:szCs w:val="24"/>
                <w:highlight w:val="none"/>
                <w:u w:val="single"/>
                <w:lang w:val="en-US" w:eastAsia="zh-CN"/>
              </w:rPr>
              <w:t xml:space="preserve">80</w:t>
            </w:r>
            <w:r>
              <w:rPr>
                <w:rFonts w:hint="eastAsia" w:ascii="宋体" w:hAnsi="宋体" w:eastAsia="宋体" w:cs="宋体"/>
                <w:b/>
                <w:bCs/>
                <w:i/>
                <w:iCs/>
                <w:color w:val="auto"/>
                <w:sz w:val="24"/>
                <w:szCs w:val="24"/>
                <w:highlight w:val="none"/>
                <w:u w:val="single"/>
              </w:rPr>
              <w:t xml:space="preserve">%；最终成果提交后甲方支付至合同总金额的100%。</w:t>
            </w:r>
            <w:r/>
          </w:p>
        </w:tc>
      </w:tr>
    </w:tbl>
    <w:p>
      <w:pPr>
        <w:ind w:firstLine="562"/>
        <w:spacing w:line="360" w:lineRule="auto"/>
        <w:rPr>
          <w:rFonts w:ascii="Times New Roman" w:hAnsi="Times New Roman" w:eastAsia="宋体" w:cs="Times New Roman"/>
          <w:b/>
          <w:color w:val="auto"/>
          <w:sz w:val="28"/>
          <w:szCs w:val="28"/>
          <w:highlight w:val="none"/>
        </w:rPr>
      </w:pPr>
      <w:r/>
      <w:bookmarkStart w:id="9" w:name="_Toc2871"/>
      <w:r>
        <w:rPr>
          <w:rFonts w:hint="eastAsia" w:ascii="Times New Roman" w:hAnsi="Times New Roman" w:eastAsia="宋体" w:cs="Times New Roman"/>
          <w:b/>
          <w:color w:val="auto"/>
          <w:sz w:val="28"/>
          <w:szCs w:val="28"/>
          <w:highlight w:val="none"/>
        </w:rPr>
        <w:t xml:space="preserve">一、项目概况</w:t>
      </w:r>
      <w:r/>
    </w:p>
    <w:p>
      <w:pPr>
        <w:ind w:firstLine="480"/>
        <w:spacing w:line="360" w:lineRule="auto"/>
        <w:rPr>
          <w:rFonts w:hint="eastAsia" w:ascii="Times New Roman" w:hAnsi="Times New Roman" w:cs="Times New Roman" w:eastAsiaTheme="minorEastAsia"/>
          <w:color w:val="auto"/>
          <w:sz w:val="24"/>
          <w:szCs w:val="24"/>
          <w:highlight w:val="none"/>
          <w:lang w:eastAsia="zh-CN"/>
        </w:rPr>
      </w:pPr>
      <w:r>
        <w:rPr>
          <w:rFonts w:ascii="Times New Roman" w:hAnsi="Times New Roman" w:eastAsia="宋体" w:cs="Times New Roman"/>
          <w:color w:val="auto"/>
          <w:sz w:val="24"/>
          <w:szCs w:val="24"/>
          <w:highlight w:val="none"/>
        </w:rPr>
        <w:t xml:space="preserve"> </w:t>
      </w:r>
      <w:r>
        <w:rPr>
          <w:rFonts w:hint="eastAsia"/>
          <w:color w:val="auto"/>
          <w:sz w:val="24"/>
          <w:szCs w:val="24"/>
          <w:highlight w:val="none"/>
        </w:rPr>
        <w:t xml:space="preserve">根据《江苏省自然资源厅关于做好“十五五”市县级矿产资源规划编制前期工作的函》《江苏省自然资源厅关于转发&lt;自然资源部办公厅关于开展“十</w:t>
      </w:r>
      <w:r>
        <w:rPr>
          <w:rFonts w:hint="eastAsia" w:ascii="宋体" w:hAnsi="宋体" w:eastAsia="宋体" w:cs="宋体"/>
          <w:color w:val="auto"/>
          <w:sz w:val="24"/>
          <w:szCs w:val="24"/>
          <w:highlight w:val="none"/>
        </w:rPr>
        <w:t xml:space="preserve">四五”矿产资源规划总结评估及“十五五”规划编制工作的通知&gt;的通知》要求，开展连云港市“十五五”矿产资源规划编制工作</w:t>
      </w:r>
      <w:r>
        <w:rPr>
          <w:rFonts w:hint="eastAsia"/>
          <w:color w:val="auto"/>
          <w:sz w:val="24"/>
          <w:szCs w:val="24"/>
          <w:highlight w:val="none"/>
        </w:rPr>
        <w:t xml:space="preserve">。</w:t>
      </w:r>
      <w:r/>
    </w:p>
    <w:p>
      <w:pPr>
        <w:numPr>
          <w:ilvl w:val="0"/>
          <w:numId w:val="1"/>
        </w:numPr>
        <w:ind w:firstLine="562"/>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服务技术要求</w:t>
      </w:r>
      <w:r/>
    </w:p>
    <w:p>
      <w:pPr>
        <w:numPr>
          <w:ilvl w:val="1"/>
          <w:numId w:val="1"/>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展重大专题研究。在“十四五”矿产资源规划实施评估基础上，按照政府职能转变、自然资源要素管理改革要求，结合连云港实际，着力解决战略性矿产找矿突破和紧缺矿产安全保障、资源结构与布局优化、集中开采区矿产资源集约高效利用、绿色矿山高质量发展等关键问题，夯实规划编制基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展规划编制工作。对接接国家和省重大发展战略，落实上级矿产资源规划目标任务，深化矿地融合理念，确定矿产资源勘查、开发利用和保护的目标任务，挖掘海洋地质服务功能，明确矿产开发的总量、结构、布局和时序安排，科学划定各类规划分区，注重矿业领域新质生产力建设，着力提升绿色矿山建设质量，统筹部署重大工程，稳定资源供给保障能力，推动资源集约高效利用。加强与相关规划的衔接，通过广泛征求意见和充分论证后，完善形成规划成果送审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开展规划环境影响评价。对规划实施后可能造成的环境影响作出分析、预测和评价, 提出规划优化调整建议和减缓影响的相关对策措施，以避免或尽可能降低由于决策失误带来的不利影响。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开展矿产资源规划数据库建设。为国土空间基础信息平台提供基础规划数据，整合纳入自然资源“一张图”管理系统，为统一国土空间用途管制、强化规划实施监督提供支撑。</w:t>
      </w:r>
      <w:r/>
    </w:p>
    <w:p>
      <w:pPr>
        <w:numPr>
          <w:ilvl w:val="1"/>
          <w:numId w:val="1"/>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（1）充分利用已有工作成果，结合新形势新要求，合理确定规划目标，明确任务部署。</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细化落实上级规划部署，确保目标指标和任务落地、重大项目落地、勘查开发准入条件和管理措施落地，明确各类规划分区、勘查开采区划空间边界。保持与各级规划的衔接一致，支持和支撑上级规划确定的矿产资源勘查、开发、保护、矿区生态保护等相关重大项目。</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矿产资源分类分级管理要求，着重对本级审批发证矿产资源的保护与开发利用进行详细部署和安排。合理确定开发强度，优化开发利用布局，严格规划准入条件，提升绿色矿山建设水平，统筹矿区生态保护。</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（4）全面落实矿产资源监督管理的职责，明确监管的重点领域、工作部署和具体监管手段措施，提高监管能力和水平，确保规划实施到位。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（5）开展第</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轮矿产资源总体规划实施评估、主要矿产资源供需策略研究、国土空间规划框架下规划分区研究等前期专题研究，支撑规划编制。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展规划数据库建设和环境影响评价。按照矿产资源规划数据库标准和建设指南的要求，与规划编制同步实施、同步完成。开展矿产资源规划环境影响评价研究，提出预防或减轻不良环境影响的对策、措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3.服务标准</w:t>
      </w:r>
      <w:r/>
    </w:p>
    <w:p>
      <w:pPr>
        <w:ind w:firstLine="480"/>
        <w:spacing w:line="360" w:lineRule="auto"/>
        <w:rPr>
          <w:rFonts w:hint="eastAsia" w:ascii="宋体" w:hAnsi="宋体" w:cs="宋体" w:eastAsiaTheme="minorEastAsia"/>
          <w:color w:val="auto"/>
          <w:sz w:val="24"/>
          <w:szCs w:val="24"/>
          <w:highlight w:val="none"/>
          <w:lang w:val="en-US" w:eastAsia="zh-CN"/>
        </w:rPr>
      </w:pPr>
      <w:r>
        <w:rPr>
          <w:rFonts w:hint="eastAsia" w:ascii="宋体" w:hAnsi="宋体"/>
          <w:bCs/>
          <w:color w:val="auto"/>
          <w:sz w:val="24"/>
          <w:highlight w:val="none"/>
        </w:rPr>
        <w:t xml:space="preserve">应符合</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“十五五”市县级矿产资源规划编制指南</w:t>
      </w:r>
      <w:r>
        <w:rPr>
          <w:rFonts w:hint="eastAsia" w:ascii="宋体" w:hAnsi="宋体"/>
          <w:bCs/>
          <w:color w:val="auto"/>
          <w:sz w:val="24"/>
          <w:highlight w:val="none"/>
          <w:lang w:eastAsia="zh-CN"/>
        </w:rPr>
        <w:t xml:space="preserve">》</w:t>
      </w:r>
      <w:r>
        <w:rPr>
          <w:rFonts w:hint="eastAsia" w:ascii="宋体" w:hAnsi="宋体" w:cs="宋体"/>
          <w:color w:val="auto"/>
          <w:sz w:val="24"/>
          <w:highlight w:val="none"/>
        </w:rPr>
        <w:t xml:space="preserve">《江苏省市县级矿产资源总体规划编制技术规程》编制要求和《矿产资源规划数据库标准》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DZ/T0226-2020</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建库标准</w:t>
      </w:r>
      <w:r>
        <w:rPr>
          <w:rFonts w:hint="eastAsia" w:ascii="宋体" w:hAnsi="宋体" w:cs="宋体"/>
          <w:color w:val="auto"/>
          <w:sz w:val="24"/>
          <w:highlight w:val="none"/>
          <w:lang w:eastAsia="zh-CN"/>
        </w:rPr>
        <w:t xml:space="preserve">。</w:t>
      </w:r>
      <w:r/>
    </w:p>
    <w:p>
      <w:pPr>
        <w:numPr>
          <w:ilvl w:val="0"/>
          <w:numId w:val="1"/>
        </w:numPr>
        <w:ind w:firstLine="562"/>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人员配备要求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项目人员应不少于5人，应具备</w:t>
      </w:r>
      <w:r>
        <w:rPr>
          <w:rFonts w:hint="eastAsia" w:ascii="宋体" w:hAnsi="宋体" w:eastAsia="宋体" w:cs="宋体"/>
          <w:color w:val="auto"/>
          <w:sz w:val="24"/>
          <w:szCs w:val="24"/>
          <w:highlight w:val="none"/>
          <w:lang w:val="en-US" w:eastAsia="zh-CN"/>
        </w:rPr>
        <w:t xml:space="preserve">地矿</w:t>
      </w:r>
      <w:r>
        <w:rPr>
          <w:rFonts w:hint="eastAsia" w:ascii="宋体" w:hAnsi="宋体" w:eastAsia="宋体" w:cs="宋体"/>
          <w:color w:val="auto"/>
          <w:sz w:val="24"/>
          <w:szCs w:val="24"/>
          <w:highlight w:val="none"/>
        </w:rPr>
        <w:t xml:space="preserve">、水工环、</w:t>
      </w:r>
      <w:r>
        <w:rPr>
          <w:rFonts w:hint="eastAsia" w:ascii="宋体" w:hAnsi="宋体" w:eastAsia="宋体" w:cs="宋体"/>
          <w:color w:val="auto"/>
          <w:sz w:val="24"/>
          <w:szCs w:val="24"/>
          <w:highlight w:val="none"/>
          <w:lang w:val="en-US" w:eastAsia="zh-CN"/>
        </w:rPr>
        <w:t xml:space="preserve">测绘（</w:t>
      </w:r>
      <w:r>
        <w:rPr>
          <w:rFonts w:hint="eastAsia" w:ascii="宋体" w:hAnsi="宋体" w:eastAsia="宋体" w:cs="宋体"/>
          <w:color w:val="auto"/>
          <w:sz w:val="24"/>
          <w:szCs w:val="24"/>
          <w:highlight w:val="none"/>
        </w:rPr>
        <w:t xml:space="preserve">地理信息系统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等相关专业，项目负责人应具备地矿类专业副高级以上技术职称，主要编制人员应具备中级以上技术职称。</w:t>
      </w:r>
      <w:r/>
    </w:p>
    <w:p>
      <w:pPr>
        <w:numPr>
          <w:ilvl w:val="0"/>
          <w:numId w:val="1"/>
        </w:numPr>
        <w:ind w:firstLine="562"/>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服务期限</w:t>
      </w:r>
      <w:r/>
    </w:p>
    <w:p>
      <w:pPr>
        <w:numPr>
          <w:ilvl w:val="0"/>
          <w:numId w:val="0"/>
        </w:num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color w:val="auto"/>
          <w:sz w:val="24"/>
          <w:szCs w:val="24"/>
          <w:highlight w:val="none"/>
          <w:u w:val="single"/>
          <w:lang w:eastAsia="zh-CN"/>
        </w:rPr>
        <w:t xml:space="preserve">合同履行期限：</w:t>
      </w:r>
      <w:r>
        <w:rPr>
          <w:rFonts w:hint="eastAsia" w:ascii="宋体" w:hAnsi="宋体" w:eastAsia="宋体" w:cs="宋体"/>
          <w:b/>
          <w:bCs/>
          <w:i/>
          <w:iCs/>
          <w:color w:val="auto"/>
          <w:sz w:val="24"/>
          <w:szCs w:val="24"/>
          <w:highlight w:val="none"/>
          <w:u w:val="single"/>
        </w:rPr>
        <w:t xml:space="preserve">自合同签订之日起至2026年</w:t>
      </w:r>
      <w:r>
        <w:rPr>
          <w:rFonts w:hint="eastAsia" w:ascii="宋体" w:hAnsi="宋体" w:eastAsia="宋体" w:cs="宋体"/>
          <w:b/>
          <w:bCs/>
          <w:i/>
          <w:iCs/>
          <w:color w:val="auto"/>
          <w:sz w:val="24"/>
          <w:szCs w:val="24"/>
          <w:highlight w:val="none"/>
          <w:u w:val="single"/>
          <w:lang w:val="en-US" w:eastAsia="zh-CN"/>
        </w:rPr>
        <w:t xml:space="preserve">12</w:t>
      </w:r>
      <w:r>
        <w:rPr>
          <w:rFonts w:hint="eastAsia" w:ascii="宋体" w:hAnsi="宋体" w:eastAsia="宋体" w:cs="宋体"/>
          <w:b/>
          <w:bCs/>
          <w:i/>
          <w:iCs/>
          <w:color w:val="auto"/>
          <w:sz w:val="24"/>
          <w:szCs w:val="24"/>
          <w:highlight w:val="none"/>
          <w:u w:val="single"/>
        </w:rPr>
        <w:t xml:space="preserve">月3</w:t>
      </w: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rPr>
        <w:t xml:space="preserve">日。</w:t>
      </w:r>
      <w:r/>
    </w:p>
    <w:p>
      <w:pPr>
        <w:numPr>
          <w:ilvl w:val="0"/>
          <w:numId w:val="1"/>
        </w:numPr>
        <w:ind w:firstLine="562"/>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履约验收</w:t>
      </w:r>
      <w:r/>
    </w:p>
    <w:p>
      <w:pPr>
        <w:ind w:firstLine="480"/>
        <w:spacing w:line="360" w:lineRule="auto"/>
        <w:rPr>
          <w:color w:val="auto"/>
          <w:sz w:val="24"/>
          <w:highlight w:val="none"/>
        </w:rPr>
      </w:pPr>
      <w:r>
        <w:rPr>
          <w:rFonts w:hint="eastAsia"/>
          <w:color w:val="auto"/>
          <w:sz w:val="24"/>
          <w:highlight w:val="none"/>
        </w:rPr>
        <w:t xml:space="preserve">成果须符合</w:t>
      </w:r>
      <w:r>
        <w:rPr>
          <w:rFonts w:hint="eastAsia"/>
          <w:color w:val="auto"/>
          <w:sz w:val="24"/>
          <w:highlight w:val="none"/>
        </w:rPr>
        <w:t xml:space="preserve">《“十五五”市县级矿产资源规划编制指南》</w:t>
      </w:r>
      <w:r>
        <w:rPr>
          <w:rFonts w:hint="eastAsia"/>
          <w:color w:val="auto"/>
          <w:sz w:val="24"/>
          <w:highlight w:val="none"/>
        </w:rPr>
        <w:t xml:space="preserve">《江苏省市县级矿产资源总体规划编制技术规程》编制要求和《矿产资源规划数据库标准》</w:t>
      </w:r>
      <w:r>
        <w:rPr>
          <w:rFonts w:hint="eastAsia"/>
          <w:color w:val="auto"/>
          <w:sz w:val="24"/>
          <w:highlight w:val="none"/>
        </w:rPr>
        <w:t xml:space="preserve">（DZ/T0226-2020）</w:t>
      </w:r>
      <w:r>
        <w:rPr>
          <w:rFonts w:hint="eastAsia"/>
          <w:color w:val="auto"/>
          <w:sz w:val="24"/>
          <w:highlight w:val="none"/>
        </w:rPr>
        <w:t xml:space="preserve">建库标准，并通过省自然资源厅组织的专家审查。</w:t>
      </w:r>
      <w:r/>
    </w:p>
    <w:p>
      <w:pPr>
        <w:numPr>
          <w:ilvl w:val="0"/>
          <w:numId w:val="1"/>
        </w:numPr>
        <w:ind w:firstLine="562"/>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付款方式与履约保证金</w:t>
      </w:r>
      <w:r/>
    </w:p>
    <w:p>
      <w:pPr>
        <w:numPr>
          <w:ilvl w:val="0"/>
          <w:numId w:val="2"/>
        </w:numPr>
        <w:ind w:firstLine="480"/>
        <w:jc w:val="left"/>
        <w:spacing w:line="360" w:lineRule="auto"/>
        <w:rPr>
          <w:rFonts w:ascii="Times New Roman" w:hAnsi="Times New Roman" w:eastAsia="宋体" w:cs="Times New Roman"/>
          <w:b/>
          <w:color w:val="auto"/>
          <w:sz w:val="28"/>
          <w:szCs w:val="28"/>
          <w:highlight w:val="none"/>
        </w:rPr>
      </w:pPr>
      <w:r>
        <w:rPr>
          <w:rFonts w:hint="eastAsia" w:ascii="宋体" w:hAnsi="宋体" w:eastAsia="宋体" w:cs="宋体"/>
          <w:b/>
          <w:bCs/>
          <w:i/>
          <w:iCs/>
          <w:color w:val="auto"/>
          <w:sz w:val="24"/>
          <w:szCs w:val="24"/>
          <w:highlight w:val="none"/>
          <w:u w:val="single"/>
        </w:rPr>
        <w:t xml:space="preserve">合同签订后，甲方向乙方支付至合同总金额的</w:t>
      </w:r>
      <w:r>
        <w:rPr>
          <w:rFonts w:hint="eastAsia" w:ascii="宋体" w:hAnsi="宋体" w:eastAsia="宋体" w:cs="宋体"/>
          <w:b/>
          <w:bCs/>
          <w:i/>
          <w:iCs/>
          <w:color w:val="auto"/>
          <w:sz w:val="24"/>
          <w:szCs w:val="24"/>
          <w:highlight w:val="none"/>
          <w:u w:val="single"/>
          <w:lang w:val="en-US" w:eastAsia="zh-CN"/>
        </w:rPr>
        <w:t xml:space="preserve">3</w:t>
      </w:r>
      <w:r>
        <w:rPr>
          <w:rFonts w:hint="eastAsia" w:ascii="宋体" w:hAnsi="宋体" w:eastAsia="宋体" w:cs="宋体"/>
          <w:b/>
          <w:bCs/>
          <w:i/>
          <w:iCs/>
          <w:color w:val="auto"/>
          <w:sz w:val="24"/>
          <w:szCs w:val="24"/>
          <w:highlight w:val="none"/>
          <w:u w:val="single"/>
        </w:rPr>
        <w:t xml:space="preserve">0%；乙方完成成果论证后由甲方向乙方支付至合同总金额的</w:t>
      </w:r>
      <w:r>
        <w:rPr>
          <w:rFonts w:hint="eastAsia" w:ascii="宋体" w:hAnsi="宋体" w:eastAsia="宋体" w:cs="宋体"/>
          <w:b/>
          <w:bCs/>
          <w:i/>
          <w:iCs/>
          <w:color w:val="auto"/>
          <w:sz w:val="24"/>
          <w:szCs w:val="24"/>
          <w:highlight w:val="none"/>
          <w:u w:val="single"/>
          <w:lang w:val="en-US" w:eastAsia="zh-CN"/>
        </w:rPr>
        <w:t xml:space="preserve">80</w:t>
      </w:r>
      <w:r>
        <w:rPr>
          <w:rFonts w:hint="eastAsia" w:ascii="宋体" w:hAnsi="宋体" w:eastAsia="宋体" w:cs="宋体"/>
          <w:b/>
          <w:bCs/>
          <w:i/>
          <w:iCs/>
          <w:color w:val="auto"/>
          <w:sz w:val="24"/>
          <w:szCs w:val="24"/>
          <w:highlight w:val="none"/>
          <w:u w:val="single"/>
        </w:rPr>
        <w:t xml:space="preserve">%；最终成果提交后甲方支付至合同总金额的100%。</w:t>
      </w:r>
      <w:r/>
    </w:p>
    <w:p>
      <w:pPr>
        <w:numPr>
          <w:ilvl w:val="0"/>
          <w:numId w:val="2"/>
        </w:numPr>
        <w:ind w:firstLine="480"/>
        <w:jc w:val="left"/>
        <w:spacing w:line="360" w:lineRule="auto"/>
        <w:rPr>
          <w:rFonts w:ascii="Times New Roman" w:hAnsi="Times New Roman" w:eastAsia="宋体" w:cs="Times New Roman"/>
          <w:b/>
          <w:color w:val="auto"/>
          <w:sz w:val="28"/>
          <w:szCs w:val="28"/>
          <w:highlight w:val="none"/>
        </w:rPr>
      </w:pPr>
      <w:r>
        <w:rPr>
          <w:rFonts w:hint="eastAsia" w:ascii="宋体" w:hAnsi="宋体" w:eastAsia="宋体" w:cs="宋体"/>
          <w:color w:val="auto"/>
          <w:sz w:val="24"/>
          <w:szCs w:val="24"/>
          <w:highlight w:val="none"/>
        </w:rPr>
        <w:t xml:space="preserve">履约保证金：</w:t>
      </w:r>
      <w:r>
        <w:rPr>
          <w:rFonts w:hint="eastAsia" w:ascii="宋体" w:hAnsi="宋体" w:eastAsia="宋体" w:cs="宋体"/>
          <w:b/>
          <w:color w:val="auto"/>
          <w:sz w:val="24"/>
          <w:szCs w:val="24"/>
          <w:highlight w:val="none"/>
        </w:rPr>
        <w:t xml:space="preserve">本项目不收取履约保证金。</w:t>
      </w:r>
      <w:r/>
    </w:p>
    <w:p>
      <w:pPr>
        <w:numPr>
          <w:ilvl w:val="0"/>
          <w:numId w:val="1"/>
        </w:numPr>
        <w:ind w:firstLine="562"/>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报价要求</w:t>
      </w:r>
      <w:r/>
    </w:p>
    <w:p>
      <w:pPr>
        <w:pStyle w:val="706"/>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报价方式：总价。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本项目由中标人负责提供所需服务全部相关工作，故投标报价应包含以上全部工作所需的一切费用。对于本</w:t>
      </w:r>
      <w:r>
        <w:rPr>
          <w:rFonts w:hint="eastAsia" w:ascii="宋体" w:hAnsi="宋体" w:eastAsia="宋体" w:cs="宋体"/>
          <w:bCs/>
          <w:color w:val="auto"/>
          <w:sz w:val="24"/>
          <w:highlight w:val="none"/>
          <w:lang w:eastAsia="zh-CN"/>
        </w:rPr>
        <w:t xml:space="preserve">竞争性磋商文件</w:t>
      </w:r>
      <w:r>
        <w:rPr>
          <w:rFonts w:hint="eastAsia" w:ascii="宋体" w:hAnsi="宋体" w:eastAsia="宋体" w:cs="宋体"/>
          <w:bCs/>
          <w:color w:val="auto"/>
          <w:sz w:val="24"/>
          <w:highlight w:val="none"/>
        </w:rPr>
        <w:t xml:space="preserve">未列明，而供应商认为必需的费用也需列入投标总报价。在合同实施时，采购人将不予支付中标人没有列入的项目费用，并认为此项目的费用已包括在投标总报价中。中标价格一经确认，中标人不得向采购人追加任何费用，采购人不再支付超出总价的任何费用。</w:t>
      </w:r>
      <w:r/>
    </w:p>
    <w:p>
      <w:pPr>
        <w:ind w:firstLine="562"/>
        <w:spacing w:line="360" w:lineRule="auto"/>
        <w:rPr>
          <w:rFonts w:ascii="Times New Roman" w:hAnsi="Times New Roman" w:eastAsia="宋体" w:cs="Times New Roman"/>
          <w:b/>
          <w:color w:val="auto"/>
          <w:sz w:val="28"/>
          <w:szCs w:val="28"/>
          <w:highlight w:val="none"/>
        </w:rPr>
      </w:pPr>
      <w:r>
        <w:rPr>
          <w:rFonts w:hint="eastAsia" w:ascii="宋体" w:hAnsi="宋体" w:eastAsia="宋体" w:cs="宋体"/>
          <w:b/>
          <w:color w:val="auto"/>
          <w:sz w:val="28"/>
          <w:szCs w:val="28"/>
          <w:highlight w:val="none"/>
        </w:rPr>
        <w:t xml:space="preserve">八、</w:t>
      </w:r>
      <w:r>
        <w:rPr>
          <w:rFonts w:hint="eastAsia" w:ascii="Times New Roman" w:hAnsi="Times New Roman" w:eastAsia="宋体" w:cs="Times New Roman"/>
          <w:b/>
          <w:color w:val="auto"/>
          <w:sz w:val="28"/>
          <w:szCs w:val="28"/>
          <w:highlight w:val="none"/>
        </w:rPr>
        <w:t xml:space="preserve">其他</w:t>
      </w:r>
      <w:r/>
    </w:p>
    <w:p>
      <w:pPr>
        <w:ind w:firstLine="480"/>
        <w:spacing w:line="360" w:lineRule="auto"/>
        <w:rPr>
          <w:color w:val="auto"/>
          <w:sz w:val="24"/>
          <w:highlight w:val="none"/>
        </w:rPr>
      </w:pPr>
      <w:r>
        <w:rPr>
          <w:rFonts w:hint="eastAsia"/>
          <w:color w:val="auto"/>
          <w:sz w:val="24"/>
          <w:highlight w:val="none"/>
        </w:rPr>
        <w:t xml:space="preserve">本项目报价不得超过预算价（最高限价）。</w:t>
      </w:r>
      <w:r/>
    </w:p>
    <w:p>
      <w:pPr>
        <w:ind w:firstLine="480"/>
        <w:spacing w:line="360" w:lineRule="auto"/>
        <w:rPr>
          <w:color w:val="auto"/>
          <w:sz w:val="24"/>
          <w:highlight w:val="none"/>
        </w:rPr>
      </w:pPr>
      <w:r>
        <w:rPr>
          <w:rFonts w:hint="eastAsia"/>
          <w:color w:val="auto"/>
          <w:sz w:val="24"/>
          <w:highlight w:val="none"/>
        </w:rPr>
        <w:t xml:space="preserve">特别提醒供应商：应根据国家收费标准并结合市场实际进行报价，总价包干。</w:t>
      </w:r>
      <w:r/>
    </w:p>
    <w:p>
      <w:pPr>
        <w:ind w:firstLine="480"/>
        <w:spacing w:line="360" w:lineRule="auto"/>
        <w:rPr>
          <w:rFonts w:ascii="Times New Roman" w:hAnsi="Times New Roman" w:cs="Times New Roman"/>
          <w:bCs/>
          <w:color w:val="auto"/>
          <w:sz w:val="24"/>
          <w:szCs w:val="24"/>
          <w:highlight w:val="none"/>
        </w:rPr>
      </w:pPr>
      <w:r>
        <w:rPr>
          <w:rFonts w:hint="eastAsia"/>
          <w:color w:val="auto"/>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20"/>
        <w:jc w:val="center"/>
        <w:spacing w:line="500" w:lineRule="exact"/>
        <w:rPr>
          <w:rFonts w:ascii="黑体" w:eastAsia="黑体" w:cs="Times New Roman"/>
          <w:color w:val="auto"/>
          <w:sz w:val="44"/>
          <w:szCs w:val="44"/>
          <w:highlight w:val="none"/>
        </w:rPr>
        <w:outlineLvl w:val="0"/>
      </w:pPr>
      <w:r/>
      <w:bookmarkStart w:id="10" w:name="_Toc20255"/>
      <w:r>
        <w:rPr>
          <w:rFonts w:hint="eastAsia"/>
          <w:color w:val="auto"/>
          <w:highlight w:val="none"/>
        </w:rPr>
        <w:br w:type="column"/>
      </w:r>
      <w:bookmarkEnd w:id="9"/>
      <w:r/>
      <w:bookmarkStart w:id="11" w:name="_Toc465856615"/>
      <w:r/>
      <w:bookmarkStart w:id="12" w:name="_Toc25616"/>
      <w:r>
        <w:rPr>
          <w:rFonts w:hint="eastAsia" w:ascii="黑体" w:eastAsia="黑体" w:cs="Times New Roman"/>
          <w:color w:val="auto"/>
          <w:sz w:val="44"/>
          <w:szCs w:val="44"/>
          <w:highlight w:val="none"/>
        </w:rPr>
        <w:t xml:space="preserve">第五章 评审方法和评审标准</w:t>
      </w:r>
      <w:bookmarkEnd w:id="10"/>
      <w:r/>
      <w:bookmarkEnd w:id="11"/>
      <w:r/>
      <w:r/>
    </w:p>
    <w:p>
      <w:pPr>
        <w:ind w:firstLine="482"/>
        <w:spacing w:line="240" w:lineRule="exact"/>
        <w:widowControl/>
        <w:rPr>
          <w:rFonts w:ascii="宋体" w:hAnsi="宋体"/>
          <w:b/>
          <w:color w:val="auto"/>
          <w:sz w:val="24"/>
          <w:highlight w:val="none"/>
        </w:rPr>
      </w:pPr>
      <w:r>
        <w:rPr>
          <w:rFonts w:ascii="宋体" w:hAnsi="宋体"/>
          <w:b/>
          <w:color w:val="auto"/>
          <w:sz w:val="24"/>
          <w:highlight w:val="none"/>
        </w:rPr>
      </w:r>
      <w:r/>
    </w:p>
    <w:p>
      <w:pPr>
        <w:ind w:firstLine="482"/>
        <w:spacing w:line="560" w:lineRule="exact"/>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综合评分法，是指响应文件满足采购文件全部实质性要求，且按照评审因素的量化指标评审得分最高的供应商为中标候选人的评标办法。</w:t>
      </w:r>
      <w:r/>
    </w:p>
    <w:p>
      <w:pPr>
        <w:ind w:firstLine="482"/>
        <w:spacing w:line="560" w:lineRule="exact"/>
        <w:widowControl/>
        <w:rPr>
          <w:rFonts w:ascii="宋体" w:hAnsi="宋体"/>
          <w:color w:val="auto"/>
          <w:sz w:val="24"/>
          <w:highlight w:val="none"/>
        </w:rPr>
      </w:pPr>
      <w:r>
        <w:rPr>
          <w:rFonts w:hint="eastAsia" w:ascii="宋体" w:hAnsi="宋体"/>
          <w:b/>
          <w:color w:val="auto"/>
          <w:sz w:val="24"/>
          <w:highlight w:val="none"/>
        </w:rPr>
        <w:t xml:space="preserve">二、评标原则</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必须公平、公正、客观，不带任何倾向性和启发性；不得向外界透露任何与评标有关的内容；任何单位和个人不得干扰、影响评标的正常进行；</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及有关工作人员不得私下与供应商接触。</w:t>
      </w:r>
      <w:r/>
    </w:p>
    <w:p>
      <w:pPr>
        <w:ind w:firstLine="482"/>
        <w:spacing w:line="560" w:lineRule="exact"/>
        <w:widowControl/>
        <w:rPr>
          <w:rFonts w:ascii="宋体" w:hAnsi="宋体"/>
          <w:b/>
          <w:color w:val="auto"/>
          <w:sz w:val="24"/>
          <w:highlight w:val="none"/>
        </w:rPr>
      </w:pPr>
      <w:r>
        <w:rPr>
          <w:rFonts w:hint="eastAsia" w:ascii="宋体" w:hAnsi="宋体"/>
          <w:b/>
          <w:color w:val="auto"/>
          <w:sz w:val="24"/>
          <w:highlight w:val="none"/>
        </w:rPr>
        <w:t xml:space="preserve">三、评标标准：</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1、评标时，</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以采购文件为评标依据，</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各成员独立对每个供应商的响应文件进行评价，并汇总每个供应商的得分。</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响应文件满足采购文件全部实质性要求，且按照评审因素的量化指标评审得分最高的供应商为排名第一的中标候选人。</w:t>
      </w:r>
      <w:r/>
    </w:p>
    <w:p>
      <w:pPr>
        <w:pStyle w:val="725"/>
        <w:ind w:left="734" w:hanging="343"/>
        <w:jc w:val="center"/>
        <w:spacing w:line="360" w:lineRule="auto"/>
        <w:tabs>
          <w:tab w:val="left" w:pos="720" w:leader="none"/>
          <w:tab w:val="clear" w:pos="916" w:leader="none"/>
        </w:tabs>
        <w:rPr>
          <w:b/>
          <w:color w:val="auto"/>
          <w:sz w:val="28"/>
          <w:szCs w:val="28"/>
          <w:highlight w:val="none"/>
        </w:rPr>
      </w:pPr>
      <w:r>
        <w:rPr>
          <w:rFonts w:hint="eastAsia"/>
          <w:b/>
          <w:color w:val="auto"/>
          <w:sz w:val="28"/>
          <w:szCs w:val="28"/>
          <w:highlight w:val="none"/>
        </w:rPr>
        <w:t xml:space="preserve">综合评分法</w:t>
      </w:r>
      <w:r/>
    </w:p>
    <w:p>
      <w:pPr>
        <w:ind w:left="420"/>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spacing w:line="56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采用低价优先法计算，即满足采购文件要求且投标价格最低的投标报价为评标基准价，其价格分为满分。其他供应商的价格分统一按照下列公式计算：</w:t>
      </w:r>
      <w:r/>
    </w:p>
    <w:p>
      <w:pPr>
        <w:ind w:firstLine="480"/>
        <w:spacing w:line="56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投标报价得分=（评标基准价/投标报价）X</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rPr>
        <w:t xml:space="preserve">。</w:t>
      </w:r>
      <w:r/>
    </w:p>
    <w:p>
      <w:pPr>
        <w:ind w:firstLine="480"/>
        <w:spacing w:line="56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评标过程中，不得去掉报价中的最高报价和最低报价。</w:t>
      </w:r>
      <w:r/>
    </w:p>
    <w:p>
      <w:pPr>
        <w:jc w:val="left"/>
        <w:spacing w:line="56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rPr>
        <w:t xml:space="preserve">商务分：</w:t>
      </w:r>
      <w:r>
        <w:rPr>
          <w:rFonts w:hint="eastAsia" w:ascii="宋体" w:hAnsi="宋体" w:eastAsia="宋体" w:cs="宋体"/>
          <w:b/>
          <w:color w:val="auto"/>
          <w:sz w:val="24"/>
          <w:szCs w:val="24"/>
          <w:highlight w:val="none"/>
          <w:lang w:val="en-US" w:eastAsia="zh-CN"/>
        </w:rPr>
        <w:t xml:space="preserve">35</w:t>
      </w:r>
      <w:r>
        <w:rPr>
          <w:rFonts w:hint="eastAsia" w:ascii="宋体" w:hAnsi="宋体" w:eastAsia="宋体" w:cs="宋体"/>
          <w:b/>
          <w:color w:val="auto"/>
          <w:sz w:val="24"/>
          <w:szCs w:val="24"/>
          <w:highlight w:val="none"/>
        </w:rPr>
        <w:t xml:space="preserve">分</w:t>
      </w:r>
      <w:r/>
    </w:p>
    <w:tbl>
      <w:tblPr>
        <w:tblStyle w:val="699"/>
        <w:tblW w:w="8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8" w:type="dxa"/>
          <w:top w:w="80" w:type="dxa"/>
          <w:right w:w="128" w:type="dxa"/>
          <w:bottom w:w="80" w:type="dxa"/>
        </w:tblCellMar>
        <w:tblLook w:val="04A0" w:firstRow="1" w:lastRow="0" w:firstColumn="1" w:lastColumn="0" w:noHBand="0" w:noVBand="1"/>
      </w:tblPr>
      <w:tblGrid>
        <w:gridCol w:w="1902"/>
        <w:gridCol w:w="7057"/>
      </w:tblGrid>
      <w:tr>
        <w:trPr>
          <w:jc w:val="center"/>
          <w:trHeight w:val="0"/>
        </w:trPr>
        <w:tc>
          <w:tcPr>
            <w:tcBorders>
              <w:top w:val="single" w:color="000000" w:sz="4" w:space="0"/>
              <w:left w:val="single" w:color="000000" w:sz="4" w:space="0"/>
              <w:bottom w:val="none" w:color="000000" w:sz="4" w:space="0"/>
              <w:right w:val="single" w:color="000000" w:sz="4" w:space="0"/>
            </w:tcBorders>
            <w:tcW w:w="1902"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评审因素</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评审标准</w:t>
            </w:r>
            <w:r/>
          </w:p>
        </w:tc>
      </w:tr>
      <w:tr>
        <w:trPr>
          <w:jc w:val="center"/>
          <w:trHeight w:val="0"/>
        </w:trPr>
        <w:tc>
          <w:tcPr>
            <w:tcBorders>
              <w:top w:val="single" w:color="000000" w:sz="4" w:space="0"/>
              <w:left w:val="single" w:color="000000" w:sz="4" w:space="0"/>
              <w:bottom w:val="none" w:color="000000" w:sz="4" w:space="0"/>
              <w:right w:val="single" w:color="000000" w:sz="4" w:space="0"/>
            </w:tcBorders>
            <w:tcW w:w="1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具有有效期内的质量管理体系认证、环境管理体系认证、职业健康安全管理体系认证，每有1个得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.编制矿产资源规划获厅局级及以上奖项的得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注：提供相关证书原件扫描件等，未按照要求提供不得分。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项目团队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1.拟派项目负责人具有</w:t>
            </w:r>
            <w:r>
              <w:rPr>
                <w:rFonts w:hint="eastAsia" w:ascii="宋体" w:hAnsi="宋体" w:eastAsia="宋体" w:cs="宋体"/>
                <w:color w:val="auto"/>
                <w:sz w:val="24"/>
                <w:szCs w:val="24"/>
                <w:highlight w:val="none"/>
                <w:lang w:val="en-US" w:eastAsia="zh-CN"/>
              </w:rPr>
              <w:t xml:space="preserve">地矿副</w:t>
            </w:r>
            <w:r>
              <w:rPr>
                <w:rFonts w:hint="eastAsia" w:ascii="宋体" w:hAnsi="宋体" w:eastAsia="宋体" w:cs="宋体"/>
                <w:color w:val="auto"/>
                <w:sz w:val="24"/>
                <w:szCs w:val="24"/>
                <w:highlight w:val="none"/>
              </w:rPr>
              <w:t xml:space="preserve">高级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职称的得3分，本项最高得3分；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2.拟派技术负责人具有</w:t>
            </w:r>
            <w:r>
              <w:rPr>
                <w:rFonts w:hint="eastAsia" w:ascii="宋体" w:hAnsi="宋体" w:eastAsia="宋体" w:cs="宋体"/>
                <w:color w:val="auto"/>
                <w:sz w:val="24"/>
                <w:szCs w:val="24"/>
                <w:highlight w:val="none"/>
                <w:lang w:val="en-US" w:eastAsia="zh-CN"/>
              </w:rPr>
              <w:t xml:space="preserve">水工环或者测绘</w:t>
            </w:r>
            <w:r>
              <w:rPr>
                <w:rFonts w:hint="eastAsia" w:ascii="宋体" w:hAnsi="宋体" w:eastAsia="宋体" w:cs="宋体"/>
                <w:color w:val="auto"/>
                <w:sz w:val="24"/>
                <w:szCs w:val="24"/>
                <w:highlight w:val="none"/>
              </w:rPr>
              <w:t xml:space="preserve">高级职称的得3分，中级职称得1分，本项最高得3分；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3.拟派的项目组其他成员（除项目负责人和技术负责人外）具有</w:t>
            </w:r>
            <w:r>
              <w:rPr>
                <w:rFonts w:hint="eastAsia" w:ascii="宋体" w:hAnsi="宋体" w:eastAsia="宋体" w:cs="宋体"/>
                <w:color w:val="auto"/>
                <w:sz w:val="24"/>
                <w:szCs w:val="24"/>
                <w:highlight w:val="none"/>
                <w:lang w:val="en-US" w:eastAsia="zh-CN"/>
              </w:rPr>
              <w:t xml:space="preserve">地矿、水工环</w:t>
            </w:r>
            <w:r>
              <w:rPr>
                <w:rFonts w:hint="eastAsia" w:ascii="宋体" w:hAnsi="宋体" w:eastAsia="宋体" w:cs="宋体"/>
                <w:color w:val="auto"/>
                <w:sz w:val="24"/>
                <w:szCs w:val="24"/>
                <w:highlight w:val="none"/>
              </w:rPr>
              <w:t xml:space="preserve">或测绘专业中级及以上职称的，有1人得1分。本项最多得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注：1、提供职称证书原件扫描件等；2、一人多证，不重复得分，按该人员的最高职称计分；3、拟投入项目组成员提供自2025年</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月以来任意1个月</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为其缴纳的社保证明材料，未提供社保证明的，对应人员不得分。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具有县级(含县级市)</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矿产资源规划项目业绩，每提供1项得3分，本项最高得9分。</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注：提供完整合同原件扫描件或成果报告（封面及主要内容）等。</w:t>
            </w:r>
            <w:r/>
          </w:p>
        </w:tc>
      </w:tr>
    </w:tbl>
    <w:p>
      <w:pPr>
        <w:jc w:val="left"/>
        <w:spacing w:line="560" w:lineRule="exact"/>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3.技术分</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rPr>
        <w:t xml:space="preserve">分</w:t>
      </w:r>
      <w:r/>
    </w:p>
    <w:tbl>
      <w:tblPr>
        <w:tblStyle w:val="729"/>
        <w:tblW w:w="0" w:type="auto"/>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5"/>
        <w:gridCol w:w="7208"/>
      </w:tblGrid>
      <w:tr>
        <w:trPr/>
        <w:tc>
          <w:tcPr>
            <w:tcW w:w="1775" w:type="dxa"/>
            <w:textDirection w:val="lrTb"/>
            <w:noWrap w:val="false"/>
          </w:tcPr>
          <w:p>
            <w:pPr>
              <w:jc w:val="center"/>
              <w:spacing w:line="360" w:lineRule="auto"/>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lang w:val="en-US" w:eastAsia="zh-CN"/>
              </w:rPr>
              <w:t xml:space="preserve">评审因素</w:t>
            </w:r>
            <w:r/>
          </w:p>
        </w:tc>
        <w:tc>
          <w:tcPr>
            <w:tcW w:w="7208" w:type="dxa"/>
            <w:textDirection w:val="lrTb"/>
            <w:noWrap w:val="false"/>
          </w:tcPr>
          <w:p>
            <w:pPr>
              <w:jc w:val="center"/>
              <w:spacing w:line="360" w:lineRule="auto"/>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lang w:val="en-US" w:eastAsia="zh-CN"/>
              </w:rPr>
              <w:t xml:space="preserve">评审标准</w:t>
            </w:r>
            <w:r/>
          </w:p>
        </w:tc>
      </w:tr>
      <w:tr>
        <w:trPr>
          <w:trHeight w:val="850"/>
        </w:trPr>
        <w:tc>
          <w:tcPr>
            <w:tcW w:w="1775" w:type="dxa"/>
            <w:vAlign w:val="center"/>
            <w:textDirection w:val="lrTb"/>
            <w:noWrap w:val="false"/>
          </w:tcPr>
          <w:p>
            <w:pPr>
              <w:pStyle w:val="932"/>
              <w:numPr>
                <w:ilvl w:val="0"/>
                <w:numId w:val="0"/>
              </w:numPr>
              <w:ind w:right="104"/>
              <w:jc w:val="center"/>
              <w:spacing w:before="154" w:line="360" w:lineRule="auto"/>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 xml:space="preserve">需求理解</w:t>
            </w:r>
            <w:r/>
          </w:p>
          <w:p>
            <w:pPr>
              <w:pStyle w:val="932"/>
              <w:numPr>
                <w:ilvl w:val="0"/>
                <w:numId w:val="0"/>
              </w:numPr>
              <w:ind w:right="104"/>
              <w:jc w:val="center"/>
              <w:spacing w:before="154" w:line="36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 xml:space="preserve">（8分）</w:t>
            </w:r>
            <w:r/>
          </w:p>
        </w:tc>
        <w:tc>
          <w:tcPr>
            <w:tcW w:w="72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对项目概况、服务目标、服务需求的理解到位，对采购人需求分析透彻，并且能结合采购人需求提供全面跟踪服务的，得8分；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对项目概况、服务目标、服务需求的理解比较到位，对采购人需求分析较透彻，并且能结合采购人需求提供跟踪服务的，得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基本了解项目概况、服务目标、服务需求，能够简单分析用户需求提供基本跟踪服务的，得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pacing w:val="8"/>
                <w:sz w:val="24"/>
                <w:szCs w:val="24"/>
                <w:highlight w:val="none"/>
              </w:rPr>
            </w:pPr>
            <w:r>
              <w:rPr>
                <w:rFonts w:hint="eastAsia" w:ascii="宋体" w:hAnsi="宋体" w:eastAsia="宋体" w:cs="宋体"/>
                <w:b/>
                <w:bCs/>
                <w:color w:val="auto"/>
                <w:sz w:val="24"/>
                <w:szCs w:val="24"/>
                <w:highlight w:val="none"/>
              </w:rPr>
              <w:t xml:space="preserve">未提供不得分。</w:t>
            </w:r>
            <w:r/>
          </w:p>
        </w:tc>
      </w:tr>
      <w:tr>
        <w:trPr>
          <w:trHeight w:val="850"/>
        </w:trPr>
        <w:tc>
          <w:tcPr>
            <w:tcW w:w="1775" w:type="dxa"/>
            <w:vAlign w:val="center"/>
            <w:textDirection w:val="lrTb"/>
            <w:noWrap w:val="false"/>
          </w:tcPr>
          <w:p>
            <w:pPr>
              <w:pStyle w:val="932"/>
              <w:numPr>
                <w:ilvl w:val="0"/>
                <w:numId w:val="0"/>
              </w:numPr>
              <w:ind w:right="104"/>
              <w:jc w:val="center"/>
              <w:spacing w:before="154" w:line="36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 xml:space="preserve">项目重点及难点分析解决方案</w:t>
            </w:r>
            <w:r>
              <w:rPr>
                <w:rFonts w:hint="eastAsia" w:cs="宋体"/>
                <w:color w:val="auto"/>
                <w:spacing w:val="8"/>
                <w:sz w:val="24"/>
                <w:szCs w:val="24"/>
                <w:highlight w:val="none"/>
                <w:lang w:val="en-US" w:eastAsia="zh-CN"/>
              </w:rPr>
              <w:t xml:space="preserve">  </w:t>
            </w:r>
            <w:r>
              <w:rPr>
                <w:rFonts w:hint="eastAsia" w:ascii="宋体" w:hAnsi="宋体" w:eastAsia="宋体" w:cs="宋体"/>
                <w:color w:val="auto"/>
                <w:spacing w:val="8"/>
                <w:sz w:val="24"/>
                <w:szCs w:val="24"/>
                <w:highlight w:val="none"/>
                <w:lang w:val="en-US" w:eastAsia="zh-CN"/>
              </w:rPr>
              <w:t xml:space="preserve">（</w:t>
            </w:r>
            <w:r>
              <w:rPr>
                <w:rFonts w:hint="eastAsia" w:cs="宋体"/>
                <w:color w:val="auto"/>
                <w:spacing w:val="8"/>
                <w:sz w:val="24"/>
                <w:szCs w:val="24"/>
                <w:highlight w:val="none"/>
                <w:lang w:val="en-US" w:eastAsia="zh-CN"/>
              </w:rPr>
              <w:t xml:space="preserve">10</w:t>
            </w:r>
            <w:r>
              <w:rPr>
                <w:rFonts w:hint="eastAsia" w:ascii="宋体" w:hAnsi="宋体" w:eastAsia="宋体" w:cs="宋体"/>
                <w:color w:val="auto"/>
                <w:spacing w:val="8"/>
                <w:sz w:val="24"/>
                <w:szCs w:val="24"/>
                <w:highlight w:val="none"/>
                <w:lang w:val="en-US" w:eastAsia="zh-CN"/>
              </w:rPr>
              <w:t xml:space="preserve">分）</w:t>
            </w:r>
            <w:r/>
          </w:p>
        </w:tc>
        <w:tc>
          <w:tcPr>
            <w:tcW w:w="72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提供了内容详实，科学合理、可行的组织方案，针对性强，完全符合项目特点及要求，得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提供了内容完整的方案较科学合理，根据需求进行了阐述分析，针对性较强的，得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提供了常规、通用的方案，基本符合要求，但细节有待完善，得6分；</w:t>
            </w:r>
            <w:r/>
          </w:p>
          <w:p>
            <w:pPr>
              <w:spacing w:line="360" w:lineRule="auto"/>
              <w:rPr>
                <w:rFonts w:hint="eastAsia" w:ascii="宋体" w:hAnsi="宋体" w:eastAsia="宋体" w:cs="宋体"/>
                <w:color w:val="auto"/>
                <w:spacing w:val="8"/>
                <w:sz w:val="24"/>
                <w:szCs w:val="24"/>
                <w:highlight w:val="none"/>
              </w:rPr>
            </w:pPr>
            <w:r>
              <w:rPr>
                <w:rFonts w:hint="eastAsia" w:ascii="宋体" w:hAnsi="宋体" w:eastAsia="宋体" w:cs="宋体"/>
                <w:b/>
                <w:bCs/>
                <w:color w:val="auto"/>
                <w:sz w:val="24"/>
                <w:szCs w:val="24"/>
                <w:highlight w:val="none"/>
                <w:lang w:val="en-US" w:eastAsia="zh-CN"/>
              </w:rPr>
              <w:t xml:space="preserve">未提供不得分。</w:t>
            </w:r>
            <w:r/>
          </w:p>
        </w:tc>
      </w:tr>
      <w:tr>
        <w:trPr>
          <w:trHeight w:val="850"/>
        </w:trPr>
        <w:tc>
          <w:tcPr>
            <w:tcW w:w="1775" w:type="dxa"/>
            <w:vAlign w:val="center"/>
            <w:textDirection w:val="lrTb"/>
            <w:noWrap w:val="false"/>
          </w:tcPr>
          <w:p>
            <w:pPr>
              <w:pStyle w:val="932"/>
              <w:numPr>
                <w:ilvl w:val="0"/>
                <w:numId w:val="0"/>
              </w:numPr>
              <w:ind w:right="104"/>
              <w:jc w:val="center"/>
              <w:spacing w:before="154"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技术路线、工作方法</w:t>
            </w:r>
            <w:r/>
          </w:p>
          <w:p>
            <w:pPr>
              <w:pStyle w:val="932"/>
              <w:numPr>
                <w:ilvl w:val="0"/>
                <w:numId w:val="0"/>
              </w:numPr>
              <w:ind w:right="104"/>
              <w:jc w:val="center"/>
              <w:spacing w:before="154" w:line="36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 xml:space="preserve">（8分）</w:t>
            </w:r>
            <w:r/>
          </w:p>
        </w:tc>
        <w:tc>
          <w:tcPr>
            <w:tcW w:w="7208" w:type="dxa"/>
            <w:textDirection w:val="lrTb"/>
            <w:noWrap w:val="false"/>
          </w:tcPr>
          <w:p>
            <w:pPr>
              <w:jc w:val="both"/>
              <w:spacing w:line="360" w:lineRule="auto"/>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4"/>
                <w:highlight w:val="none"/>
                <w:lang w:val="zh-CN" w:eastAsia="zh-CN" w:bidi="ar-SA"/>
              </w:rPr>
              <w:t xml:space="preserve">根据</w:t>
            </w:r>
            <w:r>
              <w:rPr>
                <w:rFonts w:hint="eastAsia" w:ascii="宋体" w:hAnsi="宋体" w:eastAsia="宋体" w:cs="宋体"/>
                <w:color w:val="auto"/>
                <w:sz w:val="24"/>
                <w:szCs w:val="22"/>
                <w:highlight w:val="none"/>
                <w:lang w:val="en-US" w:eastAsia="zh-CN" w:bidi="ar-SA"/>
              </w:rPr>
              <w:t xml:space="preserve">磋商供应商</w:t>
            </w:r>
            <w:r>
              <w:rPr>
                <w:rFonts w:hint="eastAsia" w:ascii="宋体" w:hAnsi="宋体" w:eastAsia="宋体" w:cs="宋体"/>
                <w:color w:val="auto"/>
                <w:sz w:val="24"/>
                <w:szCs w:val="24"/>
                <w:highlight w:val="none"/>
                <w:lang w:val="zh-CN" w:eastAsia="zh-CN" w:bidi="ar-SA"/>
              </w:rPr>
              <w:t xml:space="preserve">提出的技术路线、工作方法等方面的合理性、针对性和可操作性等</w:t>
            </w:r>
            <w:r>
              <w:rPr>
                <w:rFonts w:hint="eastAsia" w:ascii="宋体" w:hAnsi="宋体" w:eastAsia="宋体" w:cs="宋体"/>
                <w:color w:val="auto"/>
                <w:sz w:val="24"/>
                <w:szCs w:val="22"/>
                <w:highlight w:val="none"/>
                <w:lang w:val="zh-CN" w:eastAsia="zh-CN" w:bidi="ar-SA"/>
              </w:rPr>
              <w:t xml:space="preserve">方面进行评分：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科学</w:t>
            </w:r>
            <w:r>
              <w:rPr>
                <w:rFonts w:hint="eastAsia" w:ascii="宋体" w:hAnsi="宋体" w:eastAsia="宋体" w:cs="宋体"/>
                <w:color w:val="auto"/>
                <w:sz w:val="24"/>
                <w:szCs w:val="24"/>
                <w:highlight w:val="none"/>
                <w:lang w:val="en-US" w:eastAsia="zh-CN" w:bidi="ar-SA"/>
              </w:rPr>
              <w:t xml:space="preserve">合理，针对性、操作性强的得8分；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较合理，针对性、操作性较强的得7分；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合理性</w:t>
            </w:r>
            <w:r>
              <w:rPr>
                <w:rFonts w:hint="eastAsia" w:ascii="宋体" w:hAnsi="宋体" w:eastAsia="宋体" w:cs="宋体"/>
                <w:color w:val="auto"/>
                <w:sz w:val="24"/>
                <w:szCs w:val="24"/>
                <w:highlight w:val="none"/>
                <w:lang w:val="en-US" w:eastAsia="zh-CN" w:bidi="ar-SA"/>
              </w:rPr>
              <w:t xml:space="preserve">一般，针对性、操作性一般的得6分；</w:t>
            </w:r>
            <w:r/>
          </w:p>
          <w:p>
            <w:pPr>
              <w:jc w:val="both"/>
              <w:spacing w:line="360" w:lineRule="auto"/>
              <w:rPr>
                <w:rFonts w:hint="eastAsia" w:ascii="宋体" w:hAnsi="宋体" w:eastAsia="宋体" w:cs="宋体"/>
                <w:color w:val="auto"/>
                <w:spacing w:val="8"/>
                <w:sz w:val="24"/>
                <w:szCs w:val="24"/>
                <w:highlight w:val="none"/>
              </w:rPr>
            </w:pPr>
            <w:r>
              <w:rPr>
                <w:rFonts w:hint="eastAsia" w:ascii="宋体" w:hAnsi="宋体" w:eastAsia="宋体" w:cs="宋体"/>
                <w:b/>
                <w:bCs/>
                <w:color w:val="auto"/>
                <w:sz w:val="24"/>
                <w:szCs w:val="24"/>
                <w:highlight w:val="none"/>
                <w:lang w:val="en-US" w:eastAsia="zh-CN"/>
              </w:rPr>
              <w:t xml:space="preserve">未提供不得分。</w:t>
            </w:r>
            <w:r/>
          </w:p>
        </w:tc>
      </w:tr>
      <w:tr>
        <w:trPr>
          <w:trHeight w:val="850"/>
        </w:trPr>
        <w:tc>
          <w:tcPr>
            <w:tcW w:w="1775" w:type="dxa"/>
            <w:vAlign w:val="center"/>
            <w:textDirection w:val="lrTb"/>
            <w:noWrap w:val="false"/>
          </w:tcPr>
          <w:p>
            <w:pPr>
              <w:pStyle w:val="932"/>
              <w:numPr>
                <w:ilvl w:val="0"/>
                <w:numId w:val="0"/>
              </w:numPr>
              <w:ind w:right="104"/>
              <w:jc w:val="center"/>
              <w:spacing w:before="154"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组织管理</w:t>
            </w:r>
            <w:r/>
          </w:p>
          <w:p>
            <w:pPr>
              <w:pStyle w:val="932"/>
              <w:numPr>
                <w:ilvl w:val="0"/>
                <w:numId w:val="0"/>
              </w:numPr>
              <w:ind w:right="104"/>
              <w:jc w:val="center"/>
              <w:spacing w:before="154" w:line="36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 xml:space="preserve">（8分）</w:t>
            </w:r>
            <w:r/>
          </w:p>
        </w:tc>
        <w:tc>
          <w:tcPr>
            <w:tcW w:w="7208" w:type="dxa"/>
            <w:textDirection w:val="lrTb"/>
            <w:noWrap w:val="false"/>
          </w:tcPr>
          <w:p>
            <w:pPr>
              <w:jc w:val="both"/>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对</w:t>
            </w:r>
            <w:r>
              <w:rPr>
                <w:rFonts w:hint="eastAsia" w:ascii="宋体" w:hAnsi="宋体" w:eastAsia="宋体" w:cs="宋体"/>
                <w:color w:val="auto"/>
                <w:sz w:val="24"/>
                <w:szCs w:val="24"/>
                <w:highlight w:val="none"/>
                <w:lang w:val="en-US" w:eastAsia="zh-CN" w:bidi="ar-SA"/>
              </w:rPr>
              <w:t xml:space="preserve">磋商供应商</w:t>
            </w:r>
            <w:r>
              <w:rPr>
                <w:rFonts w:hint="eastAsia" w:ascii="宋体" w:hAnsi="宋体" w:eastAsia="宋体" w:cs="宋体"/>
                <w:color w:val="auto"/>
                <w:sz w:val="24"/>
                <w:szCs w:val="24"/>
                <w:highlight w:val="none"/>
                <w:lang w:val="zh-CN" w:eastAsia="zh-CN" w:bidi="ar-SA"/>
              </w:rPr>
              <w:t xml:space="preserve">提出的项目组织、管理方法、项目实施管理策略、项目进度与质量控制等方面进行评分：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科学</w:t>
            </w:r>
            <w:r>
              <w:rPr>
                <w:rFonts w:hint="eastAsia" w:ascii="宋体" w:hAnsi="宋体" w:eastAsia="宋体" w:cs="宋体"/>
                <w:color w:val="auto"/>
                <w:sz w:val="24"/>
                <w:szCs w:val="24"/>
                <w:highlight w:val="none"/>
                <w:lang w:val="en-US" w:eastAsia="zh-CN" w:bidi="ar-SA"/>
              </w:rPr>
              <w:t xml:space="preserve">合理，针对性、操作性强的得8分；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较合理，针对性、操作性较强的得7分；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合理性</w:t>
            </w:r>
            <w:r>
              <w:rPr>
                <w:rFonts w:hint="eastAsia" w:ascii="宋体" w:hAnsi="宋体" w:eastAsia="宋体" w:cs="宋体"/>
                <w:color w:val="auto"/>
                <w:sz w:val="24"/>
                <w:szCs w:val="24"/>
                <w:highlight w:val="none"/>
                <w:lang w:val="en-US" w:eastAsia="zh-CN" w:bidi="ar-SA"/>
              </w:rPr>
              <w:t xml:space="preserve">一般，针对性、操作性一般的得6分；</w:t>
            </w:r>
            <w:r/>
          </w:p>
          <w:p>
            <w:pPr>
              <w:jc w:val="both"/>
              <w:spacing w:line="360" w:lineRule="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z w:val="24"/>
                <w:szCs w:val="24"/>
                <w:highlight w:val="none"/>
                <w:lang w:val="en-US" w:eastAsia="zh-CN"/>
              </w:rPr>
              <w:t xml:space="preserve">未提供不得分。</w:t>
            </w:r>
            <w:r/>
          </w:p>
        </w:tc>
      </w:tr>
      <w:tr>
        <w:trPr>
          <w:trHeight w:val="850"/>
        </w:trPr>
        <w:tc>
          <w:tcPr>
            <w:tcW w:w="1775" w:type="dxa"/>
            <w:vAlign w:val="center"/>
            <w:textDirection w:val="lrTb"/>
            <w:noWrap w:val="false"/>
          </w:tcPr>
          <w:p>
            <w:pPr>
              <w:pStyle w:val="932"/>
              <w:numPr>
                <w:ilvl w:val="0"/>
                <w:numId w:val="0"/>
              </w:numPr>
              <w:ind w:right="104"/>
              <w:jc w:val="center"/>
              <w:spacing w:before="154"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合理</w:t>
            </w:r>
            <w:r>
              <w:rPr>
                <w:rFonts w:hint="eastAsia" w:ascii="宋体" w:hAnsi="宋体" w:cs="宋体"/>
                <w:color w:val="auto"/>
                <w:sz w:val="24"/>
                <w:highlight w:val="none"/>
                <w:lang w:val="zh-CN"/>
              </w:rPr>
              <w:t xml:space="preserve">建议与售后服务</w:t>
            </w:r>
            <w:r/>
          </w:p>
          <w:p>
            <w:pPr>
              <w:pStyle w:val="932"/>
              <w:numPr>
                <w:ilvl w:val="0"/>
                <w:numId w:val="0"/>
              </w:numPr>
              <w:ind w:right="104"/>
              <w:jc w:val="center"/>
              <w:spacing w:before="154" w:line="36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 xml:space="preserve">（8分）</w:t>
            </w:r>
            <w:r/>
          </w:p>
        </w:tc>
        <w:tc>
          <w:tcPr>
            <w:tcW w:w="7208" w:type="dxa"/>
            <w:textDirection w:val="lrTb"/>
            <w:noWrap w:val="false"/>
          </w:tcPr>
          <w:p>
            <w:pPr>
              <w:spacing w:line="360" w:lineRule="auto"/>
              <w:rPr>
                <w:rFonts w:hint="eastAsia" w:ascii="Times New Roman"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对本项目提出的合理化建议及</w:t>
            </w:r>
            <w:r>
              <w:rPr>
                <w:rFonts w:hint="eastAsia" w:ascii="Times New Roman" w:hAnsi="宋体" w:eastAsia="宋体" w:cs="宋体"/>
                <w:color w:val="auto"/>
                <w:sz w:val="24"/>
                <w:szCs w:val="24"/>
                <w:highlight w:val="none"/>
                <w:lang w:val="zh-CN"/>
              </w:rPr>
              <w:t xml:space="preserve">后续服务、数据库运行及承诺措施</w:t>
            </w:r>
            <w:r>
              <w:rPr>
                <w:rFonts w:hint="eastAsia" w:ascii="宋体" w:hAnsi="宋体" w:eastAsia="宋体" w:cs="宋体"/>
                <w:color w:val="auto"/>
                <w:sz w:val="24"/>
                <w:szCs w:val="24"/>
                <w:highlight w:val="none"/>
                <w:lang w:val="zh-CN"/>
              </w:rPr>
              <w:t xml:space="preserve">等</w:t>
            </w:r>
            <w:r>
              <w:rPr>
                <w:rFonts w:hint="eastAsia" w:ascii="Times New Roman" w:hAnsi="宋体" w:eastAsia="宋体" w:cs="宋体"/>
                <w:color w:val="auto"/>
                <w:sz w:val="24"/>
                <w:szCs w:val="24"/>
                <w:highlight w:val="none"/>
                <w:lang w:val="zh-CN"/>
              </w:rPr>
              <w:t xml:space="preserve">方面进行评分：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科学</w:t>
            </w:r>
            <w:r>
              <w:rPr>
                <w:rFonts w:hint="eastAsia" w:ascii="宋体" w:hAnsi="宋体" w:eastAsia="宋体" w:cs="宋体"/>
                <w:color w:val="auto"/>
                <w:sz w:val="24"/>
                <w:szCs w:val="24"/>
                <w:highlight w:val="none"/>
                <w:lang w:val="en-US" w:eastAsia="zh-CN" w:bidi="ar-SA"/>
              </w:rPr>
              <w:t xml:space="preserve">合理，针对性、操作性强的得8分；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较合理，针对性、操作性较强的得7分；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合理性</w:t>
            </w:r>
            <w:r>
              <w:rPr>
                <w:rFonts w:hint="eastAsia" w:ascii="宋体" w:hAnsi="宋体" w:eastAsia="宋体" w:cs="宋体"/>
                <w:color w:val="auto"/>
                <w:sz w:val="24"/>
                <w:szCs w:val="24"/>
                <w:highlight w:val="none"/>
                <w:lang w:val="en-US" w:eastAsia="zh-CN" w:bidi="ar-SA"/>
              </w:rPr>
              <w:t xml:space="preserve">一般，针对性、操作性一般的得6分；</w:t>
            </w:r>
            <w:r/>
          </w:p>
          <w:p>
            <w:pPr>
              <w:spacing w:line="360" w:lineRule="auto"/>
              <w:rPr>
                <w:rFonts w:hint="eastAsia" w:ascii="宋体" w:hAnsi="宋体" w:eastAsia="宋体" w:cs="宋体"/>
                <w:color w:val="auto"/>
                <w:spacing w:val="8"/>
                <w:sz w:val="24"/>
                <w:szCs w:val="24"/>
                <w:highlight w:val="none"/>
              </w:rPr>
            </w:pPr>
            <w:r>
              <w:rPr>
                <w:rFonts w:hint="eastAsia" w:ascii="宋体" w:hAnsi="宋体" w:eastAsia="宋体" w:cs="宋体"/>
                <w:b/>
                <w:bCs/>
                <w:color w:val="auto"/>
                <w:sz w:val="24"/>
                <w:szCs w:val="24"/>
                <w:highlight w:val="none"/>
                <w:lang w:val="en-US" w:eastAsia="zh-CN"/>
              </w:rPr>
              <w:t xml:space="preserve">未提供不得分。</w:t>
            </w:r>
            <w:r/>
          </w:p>
        </w:tc>
      </w:tr>
      <w:tr>
        <w:trPr>
          <w:trHeight w:val="850"/>
        </w:trPr>
        <w:tc>
          <w:tcPr>
            <w:tcW w:w="1775" w:type="dxa"/>
            <w:vAlign w:val="center"/>
            <w:textDirection w:val="lrTb"/>
            <w:noWrap w:val="false"/>
          </w:tcPr>
          <w:p>
            <w:pPr>
              <w:pStyle w:val="932"/>
              <w:numPr>
                <w:ilvl w:val="0"/>
                <w:numId w:val="0"/>
              </w:numPr>
              <w:ind w:right="104"/>
              <w:jc w:val="center"/>
              <w:spacing w:before="65" w:line="360" w:lineRule="auto"/>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 xml:space="preserve">质量保证解决方案</w:t>
            </w:r>
            <w:r/>
          </w:p>
          <w:p>
            <w:pPr>
              <w:pStyle w:val="932"/>
              <w:numPr>
                <w:ilvl w:val="0"/>
                <w:numId w:val="0"/>
              </w:numPr>
              <w:ind w:right="104"/>
              <w:jc w:val="center"/>
              <w:spacing w:before="65" w:line="36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 xml:space="preserve">（</w:t>
            </w:r>
            <w:r>
              <w:rPr>
                <w:rFonts w:hint="eastAsia" w:cs="宋体"/>
                <w:color w:val="auto"/>
                <w:spacing w:val="8"/>
                <w:sz w:val="24"/>
                <w:szCs w:val="24"/>
                <w:highlight w:val="none"/>
                <w:lang w:val="en-US" w:eastAsia="zh-CN"/>
              </w:rPr>
              <w:t xml:space="preserve">8</w:t>
            </w:r>
            <w:r>
              <w:rPr>
                <w:rFonts w:hint="eastAsia" w:ascii="宋体" w:hAnsi="宋体" w:eastAsia="宋体" w:cs="宋体"/>
                <w:color w:val="auto"/>
                <w:spacing w:val="8"/>
                <w:sz w:val="24"/>
                <w:szCs w:val="24"/>
                <w:highlight w:val="none"/>
                <w:lang w:val="en-US" w:eastAsia="zh-CN"/>
              </w:rPr>
              <w:t xml:space="preserve">分）</w:t>
            </w:r>
            <w:r/>
          </w:p>
        </w:tc>
        <w:tc>
          <w:tcPr>
            <w:tcW w:w="7208" w:type="dxa"/>
            <w:textDirection w:val="lrTb"/>
            <w:noWrap w:val="false"/>
          </w:tcPr>
          <w:p>
            <w:pPr>
              <w:jc w:val="both"/>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根据服务内容及要求，制定项目质量保证方案，需包括但不限于质量管理方法、文档质量管理、过程质量控制等</w:t>
            </w:r>
            <w:r>
              <w:rPr>
                <w:rFonts w:hint="eastAsia" w:ascii="宋体" w:hAnsi="宋体" w:eastAsia="宋体" w:cs="宋体"/>
                <w:color w:val="auto"/>
                <w:sz w:val="24"/>
                <w:szCs w:val="24"/>
                <w:highlight w:val="none"/>
                <w:lang w:val="zh-CN" w:eastAsia="zh-CN" w:bidi="ar-SA"/>
              </w:rPr>
              <w:t xml:space="preserve">进行评分：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科学</w:t>
            </w:r>
            <w:r>
              <w:rPr>
                <w:rFonts w:hint="eastAsia" w:ascii="宋体" w:hAnsi="宋体" w:eastAsia="宋体" w:cs="宋体"/>
                <w:color w:val="auto"/>
                <w:sz w:val="24"/>
                <w:szCs w:val="24"/>
                <w:highlight w:val="none"/>
                <w:lang w:val="en-US" w:eastAsia="zh-CN" w:bidi="ar-SA"/>
              </w:rPr>
              <w:t xml:space="preserve">合理，针对性、操作性强的得8分；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较合理，针对性、操作性较强的得7分；</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合理性</w:t>
            </w:r>
            <w:r>
              <w:rPr>
                <w:rFonts w:hint="eastAsia" w:ascii="宋体" w:hAnsi="宋体" w:eastAsia="宋体" w:cs="宋体"/>
                <w:color w:val="auto"/>
                <w:sz w:val="24"/>
                <w:szCs w:val="24"/>
                <w:highlight w:val="none"/>
                <w:lang w:val="en-US" w:eastAsia="zh-CN" w:bidi="ar-SA"/>
              </w:rPr>
              <w:t xml:space="preserve">一般，针对性、操作性一般的得6分；</w:t>
            </w:r>
            <w:r/>
          </w:p>
          <w:p>
            <w:pPr>
              <w:pStyle w:val="932"/>
              <w:numPr>
                <w:ilvl w:val="0"/>
                <w:numId w:val="0"/>
              </w:numPr>
              <w:ind w:right="104"/>
              <w:jc w:val="both"/>
              <w:spacing w:before="65" w:line="360" w:lineRule="auto"/>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z w:val="24"/>
                <w:szCs w:val="24"/>
                <w:highlight w:val="none"/>
                <w:lang w:val="en-US" w:eastAsia="zh-CN"/>
              </w:rPr>
              <w:t xml:space="preserve">未提供不得分。</w:t>
            </w:r>
            <w:r/>
          </w:p>
        </w:tc>
      </w:tr>
    </w:tbl>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黑体" w:hAnsi="黑体" w:eastAsia="黑体"/>
          <w:color w:val="auto"/>
          <w:highlight w:val="none"/>
        </w:rPr>
      </w:pPr>
      <w:r>
        <w:rPr>
          <w:rFonts w:ascii="黑体" w:hAnsi="黑体" w:eastAsia="黑体"/>
          <w:color w:val="auto"/>
          <w:highlight w:val="none"/>
        </w:rPr>
      </w:r>
      <w:r/>
    </w:p>
    <w:p>
      <w:pPr>
        <w:rPr>
          <w:rFonts w:ascii="黑体" w:hAnsi="黑体" w:eastAsia="黑体"/>
          <w:b w:val="0"/>
          <w:bCs w:val="0"/>
          <w:color w:val="auto"/>
          <w:highlight w:val="none"/>
        </w:rPr>
      </w:pPr>
      <w:r/>
      <w:bookmarkStart w:id="13" w:name="_Toc8976"/>
      <w:r>
        <w:rPr>
          <w:color w:val="auto"/>
          <w:highlight w:val="none"/>
        </w:rPr>
        <w:br w:type="page" w:clear="all"/>
      </w:r>
      <w:r/>
    </w:p>
    <w:p>
      <w:pPr>
        <w:pStyle w:val="689"/>
        <w:jc w:val="center"/>
        <w:spacing w:before="156" w:after="156" w:line="360" w:lineRule="auto"/>
        <w:rPr>
          <w:color w:val="auto"/>
          <w:highlight w:val="none"/>
        </w:rPr>
      </w:pPr>
      <w:r>
        <w:rPr>
          <w:rFonts w:hint="eastAsia" w:ascii="黑体" w:hAnsi="黑体" w:eastAsia="黑体"/>
          <w:b w:val="0"/>
          <w:color w:val="auto"/>
          <w:highlight w:val="none"/>
        </w:rPr>
        <w:t xml:space="preserve">第六章  响应文件格式</w:t>
      </w:r>
      <w:bookmarkEnd w:id="12"/>
      <w:r/>
      <w:bookmarkEnd w:id="13"/>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pStyle w:val="700"/>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r>
      <w:r/>
    </w:p>
    <w:p>
      <w:pPr>
        <w:pStyle w:val="701"/>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r>
      <w:r/>
    </w:p>
    <w:p>
      <w:pPr>
        <w:rPr>
          <w:rFonts w:hint="eastAsia"/>
          <w:color w:val="auto"/>
          <w:highlight w:val="none"/>
        </w:rPr>
      </w:pPr>
      <w:r>
        <w:rPr>
          <w:rFonts w:hint="eastAsia"/>
          <w:color w:val="auto"/>
          <w:highlight w:val="none"/>
        </w:rPr>
      </w:r>
      <w:r/>
    </w:p>
    <w:p>
      <w:pPr>
        <w:numPr>
          <w:ilvl w:val="0"/>
          <w:numId w:val="0"/>
        </w:numPr>
        <w:jc w:val="left"/>
        <w:keepLines w:val="0"/>
        <w:keepNext w:val="0"/>
        <w:pageBreakBefore w:val="0"/>
        <w:spacing w:before="360" w:after="200" w:line="360" w:lineRule="auto"/>
        <w:widowControl w:val="off"/>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lang w:val="en-US" w:eastAsia="zh-CN"/>
        </w:rPr>
        <w:t xml:space="preserve">二、</w:t>
      </w:r>
      <w:r>
        <w:rPr>
          <w:rFonts w:hint="eastAsia" w:ascii="Arial" w:hAnsi="Arial" w:eastAsia="宋体" w:cs="Arial"/>
          <w:i/>
          <w:color w:val="auto"/>
          <w:sz w:val="36"/>
          <w:highlight w:val="none"/>
          <w:u w:val="single"/>
        </w:rPr>
        <w:t xml:space="preserve">上一年度的财务状况报告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pStyle w:val="700"/>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r>
      <w:r/>
    </w:p>
    <w:p>
      <w:pPr>
        <w:pStyle w:val="701"/>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r>
      <w:r/>
    </w:p>
    <w:p>
      <w:pPr>
        <w:pStyle w:val="700"/>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r>
      <w:r/>
    </w:p>
    <w:p>
      <w:pPr>
        <w:pStyle w:val="701"/>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r>
      <w:r/>
    </w:p>
    <w:p>
      <w:pPr>
        <w:pStyle w:val="700"/>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r>
      <w:r/>
    </w:p>
    <w:p>
      <w:pPr>
        <w:pStyle w:val="701"/>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r>
      <w:r/>
    </w:p>
    <w:p>
      <w:pPr>
        <w:pStyle w:val="700"/>
        <w:rPr>
          <w:rFonts w:hint="eastAsia"/>
          <w:color w:val="auto"/>
          <w:highlight w:val="none"/>
        </w:rPr>
      </w:pPr>
      <w:r>
        <w:rPr>
          <w:rFonts w:hint="eastAsia"/>
          <w:color w:val="auto"/>
          <w:highlight w:val="non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七 、落实政府采购政策需满足的资格要求的证明文件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供应商</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授权，以我方名义签署、澄清确认、提交、撤回、修改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）响应文件和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磋商文件</w:t>
      </w:r>
      <w:r>
        <w:rPr>
          <w:rFonts w:ascii="Calibri" w:hAnsi="Calibri" w:eastAsia="宋体" w:cs="Times New Roman"/>
          <w:color w:val="auto"/>
          <w:sz w:val="24"/>
          <w:szCs w:val="24"/>
          <w:highlight w:val="none"/>
        </w:rPr>
        <w:t xml:space="preserve">注明允许分支机构参与</w:t>
      </w:r>
      <w:r>
        <w:rPr>
          <w:rFonts w:hint="eastAsia" w:ascii="Calibri" w:hAnsi="Calibri" w:eastAsia="宋体" w:cs="Times New Roman"/>
          <w:color w:val="auto"/>
          <w:sz w:val="24"/>
          <w:szCs w:val="24"/>
          <w:highlight w:val="none"/>
        </w:rPr>
        <w:t xml:space="preserve">磋商</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响应文件</w:t>
      </w:r>
      <w:r>
        <w:rPr>
          <w:rFonts w:ascii="Calibri" w:hAnsi="Calibri" w:eastAsia="宋体" w:cs="Times New Roman"/>
          <w:color w:val="auto"/>
          <w:sz w:val="24"/>
          <w:szCs w:val="24"/>
          <w:highlight w:val="none"/>
        </w:rPr>
        <w:t xml:space="preserve">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供应商</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6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260" w:after="260" w:line="416"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260" w:after="260" w:line="416"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260" w:after="260" w:line="416"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260" w:after="260" w:line="416"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260" w:after="260" w:line="416" w:lineRule="auto"/>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十、磋商响应函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磋商响应函</w:t>
      </w:r>
      <w:r/>
    </w:p>
    <w:p>
      <w:pPr>
        <w:jc w:val="left"/>
        <w:spacing w:line="500" w:lineRule="exact"/>
        <w:rPr>
          <w:rFonts w:ascii="Calibri" w:hAnsi="Calibri" w:eastAsia="宋体" w:cs="Times New Roman"/>
          <w:color w:val="auto"/>
          <w:sz w:val="24"/>
          <w:szCs w:val="24"/>
          <w:highlight w:val="none"/>
        </w:rPr>
      </w:pPr>
      <w:r>
        <w:rPr>
          <w:rFonts w:hint="eastAsia" w:ascii="宋体" w:hAnsi="宋体" w:eastAsia="宋体" w:cs="Times New Roman"/>
          <w:color w:val="auto"/>
          <w:sz w:val="24"/>
          <w:szCs w:val="21"/>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24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2.我们完全理解贵方不一定将合同授予最低报价的供应商。</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.与本磋商有关的正式通讯地址为：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十一、中小企业声明函（服务）</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3、成交供应商的《中小企业声明函》随成交结果公开，接受社会监督。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val="0"/>
        <w:keepNext w:val="0"/>
        <w:pageBreakBefore w:val="0"/>
        <w:spacing w:before="360" w:after="200" w:line="360" w:lineRule="auto"/>
        <w:widowControl w:val="off"/>
        <w:rPr>
          <w:rFonts w:hint="eastAsia" w:ascii="Arial" w:hAnsi="Arial" w:eastAsia="宋体" w:cs="Arial"/>
          <w:color w:val="auto"/>
          <w:sz w:val="36"/>
          <w:highlight w:val="none"/>
        </w:rPr>
        <w:outlineLvl w:val="1"/>
      </w:pPr>
      <w:r>
        <w:rPr>
          <w:rFonts w:hint="eastAsia" w:ascii="Arial" w:hAnsi="Arial" w:eastAsia="宋体" w:cs="Arial"/>
          <w:color w:val="auto"/>
          <w:sz w:val="36"/>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十二、残疾人福利性单位声明函</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2、成交供应商的《残疾人福利性单位声明函》随成交结果公开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br w:type="column"/>
      </w:r>
      <w:r>
        <w:rPr>
          <w:rFonts w:hint="eastAsia" w:ascii="Arial" w:hAnsi="Arial" w:eastAsia="宋体" w:cs="Arial"/>
          <w:color w:val="auto"/>
          <w:sz w:val="36"/>
          <w:highlight w:val="none"/>
        </w:rPr>
        <w:t xml:space="preserve">十三、联合体协议（参考格式）</w:t>
      </w:r>
      <w:r/>
    </w:p>
    <w:p>
      <w:pPr>
        <w:jc w:val="center"/>
        <w:spacing w:line="360" w:lineRule="auto"/>
        <w:tabs>
          <w:tab w:val="left" w:pos="360" w:leader="none"/>
        </w:tabs>
        <w:rPr>
          <w:rFonts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（小型、微型企业/残疾人福利性单位/监狱企业全称）为</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color w:val="auto"/>
          <w:highlight w:val="none"/>
        </w:rPr>
      </w:pPr>
      <w:r>
        <w:rPr>
          <w:rFonts w:hint="eastAsia" w:ascii="宋体" w:hAnsi="宋体" w:eastAsia="宋体" w:cs="Times New Roman"/>
          <w:color w:val="auto"/>
          <w:sz w:val="24"/>
          <w:szCs w:val="21"/>
          <w:highlight w:val="none"/>
        </w:rPr>
        <w:t xml:space="preserve">备注：本磋商文件中要求加盖公章的内容，仅需加盖牵头单位的公章。</w:t>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十四、分项报价表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分项报价表</w:t>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699"/>
        <w:tblW w:w="9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65"/>
        <w:gridCol w:w="1756"/>
        <w:gridCol w:w="1417"/>
        <w:gridCol w:w="993"/>
        <w:gridCol w:w="1093"/>
        <w:gridCol w:w="2350"/>
      </w:tblGrid>
      <w:tr>
        <w:trPr>
          <w:cantSplit/>
          <w:jc w:val="center"/>
          <w:trHeight w:val="898"/>
        </w:trPr>
        <w:tc>
          <w:tcPr>
            <w:tcW w:w="1765"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756"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产品、服务（标的）名称</w:t>
            </w:r>
            <w:r/>
          </w:p>
        </w:tc>
        <w:tc>
          <w:tcPr>
            <w:tcW w:w="1417"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分项单位</w:t>
            </w:r>
            <w:r/>
          </w:p>
        </w:tc>
        <w:tc>
          <w:tcPr>
            <w:tcW w:w="993"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093"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单价</w:t>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单项</w:t>
            </w:r>
            <w:r/>
          </w:p>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合计价</w:t>
            </w:r>
            <w:r/>
          </w:p>
        </w:tc>
      </w:tr>
      <w:tr>
        <w:trPr>
          <w:cantSplit/>
          <w:jc w:val="center"/>
          <w:trHeight w:val="501"/>
        </w:trPr>
        <w:tc>
          <w:tcPr>
            <w:tcW w:w="1765"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1765"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1765"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gridSpan w:val="5"/>
            <w:tcW w:w="7024"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总计（元）</w:t>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br w:type="column"/>
      </w:r>
      <w:r>
        <w:rPr>
          <w:rFonts w:hint="eastAsia" w:ascii="Arial" w:hAnsi="Arial" w:eastAsia="宋体" w:cs="Arial"/>
          <w:i/>
          <w:iCs/>
          <w:color w:val="auto"/>
          <w:sz w:val="36"/>
          <w:highlight w:val="none"/>
          <w:u w:val="single"/>
        </w:rPr>
        <w:t xml:space="preserve">十五、技术要求响应及偏离表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w:t>
      </w:r>
      <w:r/>
    </w:p>
    <w:tbl>
      <w:tblPr>
        <w:tblStyle w:val="69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bookmarkStart w:id="14" w:name="_Hlt26955054"/>
      <w:r/>
      <w:bookmarkEnd w:id="14"/>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val="0"/>
        <w:keepNext w:val="0"/>
        <w:pageBreakBefore w:val="0"/>
        <w:spacing w:before="360" w:after="200"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十六、商务要求响应及偏离表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w:t>
      </w:r>
      <w:r>
        <w:rPr>
          <w:rFonts w:ascii="宋体" w:hAnsi="宋体" w:eastAsia="宋体" w:cs="Times New Roman"/>
          <w:bCs/>
          <w:color w:val="auto"/>
          <w:sz w:val="24"/>
          <w:szCs w:val="24"/>
          <w:highlight w:val="none"/>
        </w:rPr>
        <w:t xml:space="preserve"> </w:t>
      </w:r>
      <w:r/>
    </w:p>
    <w:tbl>
      <w:tblPr>
        <w:tblStyle w:val="69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15" w:name="_Hlt26580838"/>
            <w:r/>
            <w:bookmarkEnd w:id="15"/>
            <w:r/>
            <w:bookmarkStart w:id="16" w:name="_Hlt26671343"/>
            <w:r/>
            <w:bookmarkEnd w:id="16"/>
            <w:r/>
            <w:bookmarkStart w:id="17" w:name="_Hlt26782999"/>
            <w:r/>
            <w:bookmarkEnd w:id="17"/>
            <w:r/>
            <w:bookmarkStart w:id="18" w:name="_Hlt26955056"/>
            <w:r/>
            <w:bookmarkEnd w:id="18"/>
            <w:r/>
            <w:bookmarkStart w:id="19" w:name="_Hlt26955064"/>
            <w:r/>
            <w:bookmarkEnd w:id="19"/>
            <w:r/>
            <w:bookmarkStart w:id="20" w:name="_Hlt26609391"/>
            <w:r/>
            <w:bookmarkEnd w:id="20"/>
            <w:r/>
            <w:bookmarkStart w:id="21" w:name="_Hlt24879081"/>
            <w:r/>
            <w:bookmarkEnd w:id="21"/>
            <w:r/>
            <w:bookmarkStart w:id="22" w:name="_Hlt26671372"/>
            <w:r/>
            <w:bookmarkEnd w:id="22"/>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br w:type="column"/>
      </w:r>
      <w:r>
        <w:rPr>
          <w:rFonts w:hint="eastAsia" w:ascii="Arial" w:hAnsi="Arial" w:eastAsia="宋体" w:cs="Arial"/>
          <w:iCs/>
          <w:color w:val="auto"/>
          <w:sz w:val="36"/>
          <w:highlight w:val="none"/>
        </w:rPr>
        <w:t xml:space="preserve">十七、类似项目业绩一览表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w:t>
      </w:r>
      <w:r>
        <w:rPr>
          <w:rFonts w:ascii="宋体" w:hAnsi="宋体" w:eastAsia="宋体" w:cs="Times New Roman"/>
          <w:bCs/>
          <w:color w:val="auto"/>
          <w:sz w:val="24"/>
          <w:szCs w:val="24"/>
          <w:highlight w:val="none"/>
        </w:rPr>
        <w:t xml:space="preserve"> </w:t>
      </w:r>
      <w:r/>
    </w:p>
    <w:tbl>
      <w:tblPr>
        <w:tblStyle w:val="69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br w:type="column"/>
      </w:r>
      <w:r>
        <w:rPr>
          <w:rFonts w:hint="eastAsia" w:ascii="Arial" w:hAnsi="Arial" w:eastAsia="宋体" w:cs="Arial"/>
          <w:iCs/>
          <w:color w:val="auto"/>
          <w:sz w:val="36"/>
          <w:highlight w:val="none"/>
        </w:rPr>
        <w:t xml:space="preserve">十八、项目团队人员一览表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w:t>
      </w:r>
      <w:r>
        <w:rPr>
          <w:rFonts w:ascii="宋体" w:hAnsi="宋体" w:eastAsia="宋体" w:cs="Times New Roman"/>
          <w:bCs/>
          <w:color w:val="auto"/>
          <w:sz w:val="24"/>
          <w:szCs w:val="24"/>
          <w:highlight w:val="none"/>
        </w:rPr>
        <w:t xml:space="preserve"> </w:t>
      </w:r>
      <w:r/>
    </w:p>
    <w:tbl>
      <w:tblPr>
        <w:tblStyle w:val="69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jc w:val="left"/>
        <w:widowControl/>
        <w:rPr>
          <w:rFonts w:ascii="黑体" w:hAnsi="黑体" w:eastAsia="黑体" w:cs="仿宋"/>
          <w:bCs/>
          <w:color w:val="auto"/>
          <w:sz w:val="40"/>
          <w:szCs w:val="32"/>
          <w:highlight w:val="none"/>
        </w:rPr>
      </w:pPr>
      <w:r/>
      <w:bookmarkStart w:id="23" w:name="_Hlt26609389"/>
      <w:r/>
      <w:bookmarkEnd w:id="23"/>
      <w:r/>
      <w:bookmarkStart w:id="24" w:name="_Hlt26671374"/>
      <w:r/>
      <w:bookmarkEnd w:id="24"/>
      <w:r/>
      <w:bookmarkStart w:id="25" w:name="_格式2__法定代表人授权书"/>
      <w:r/>
      <w:bookmarkEnd w:id="25"/>
      <w:r/>
      <w:bookmarkStart w:id="26" w:name="_Hlt26955066"/>
      <w:r/>
      <w:bookmarkEnd w:id="26"/>
      <w:r>
        <w:rPr>
          <w:rFonts w:ascii="黑体" w:hAnsi="黑体" w:eastAsia="黑体" w:cs="仿宋"/>
          <w:bCs/>
          <w:color w:val="auto"/>
          <w:sz w:val="40"/>
          <w:szCs w:val="32"/>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850" w:right="1596" w:bottom="850" w:left="149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Wingdings">
    <w:panose1 w:val="05000000000000000000"/>
  </w:font>
  <w:font w:name="Symbol">
    <w:panose1 w:val="05050102010706020507"/>
  </w:font>
  <w:font w:name="新宋体">
    <w:panose1 w:val="02010609030101010101"/>
  </w:font>
  <w:font w:name="Calibri">
    <w:panose1 w:val="020F0502020204030204"/>
  </w:font>
  <w:font w:name="MS Mincho">
    <w:panose1 w:val="02020603050405090304"/>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715"/>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1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2948305</wp:posOffset>
              </wp:positionH>
              <wp:positionV relativeFrom="paragraph">
                <wp:posOffset>66675</wp:posOffset>
              </wp:positionV>
              <wp:extent cx="234950" cy="302260"/>
              <wp:effectExtent l="6350" t="6350" r="6350" b="6350"/>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35260" cy="302307"/>
                      </a:xfrm>
                      <a:prstGeom prst="rect">
                        <a:avLst/>
                      </a:prstGeom>
                      <a:noFill/>
                      <a:ln>
                        <a:noFill/>
                      </a:ln>
                    </wps:spPr>
                    <wps:txbx>
                      <w:txbxContent>
                        <w:sdt>
                          <w:sdtPr>
                            <w15:appearance w15:val="boundingBox"/>
                            <w:id w:val="147477945"/>
                            <w:rPr/>
                          </w:sdtPr>
                          <w:sdtContent>
                            <w:p>
                              <w:pPr>
                                <w:pStyle w:val="715"/>
                                <w:jc w:val="center"/>
                              </w:pPr>
                              <w:r>
                                <w:fldChar w:fldCharType="begin"/>
                              </w:r>
                              <w:r>
                                <w:instrText xml:space="preserve"> PAGE   \* MERGEFORMAT </w:instrText>
                              </w:r>
                              <w:r>
                                <w:fldChar w:fldCharType="separate"/>
                              </w:r>
                              <w:r>
                                <w:rPr>
                                  <w:lang w:val="zh-CN"/>
                                </w:rPr>
                                <w:t xml:space="preserve">33</w:t>
                              </w:r>
                              <w:r>
                                <w:rPr>
                                  <w:lang w:val="zh-CN"/>
                                </w:rPr>
                                <w:fldChar w:fldCharType="end"/>
                              </w:r>
                              <w:r/>
                            </w:p>
                          </w:sdtContent>
                        </w:sdt>
                        <w:p>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60288;o:allowoverlap:true;o:allowincell:true;mso-position-horizontal-relative:margin;margin-left:232.1pt;mso-position-horizontal:absolute;mso-position-vertical-relative:text;margin-top:5.2pt;mso-position-vertical:absolute;width:18.5pt;height:23.8pt;mso-wrap-distance-left:9.0pt;mso-wrap-distance-top:0.0pt;mso-wrap-distance-right:9.0pt;mso-wrap-distance-bottom:0.0pt;v-text-anchor:top;visibility:visible;" filled="f" stroked="f">
              <v:textbox inset="0,0,0,0">
                <w:txbxContent>
                  <w:sdt>
                    <w:sdtPr>
                      <w15:appearance w15:val="boundingBox"/>
                      <w:id w:val="147477945"/>
                      <w:rPr/>
                    </w:sdtPr>
                    <w:sdtContent>
                      <w:p>
                        <w:pPr>
                          <w:pStyle w:val="715"/>
                          <w:jc w:val="center"/>
                        </w:pPr>
                        <w:r>
                          <w:fldChar w:fldCharType="begin"/>
                        </w:r>
                        <w:r>
                          <w:instrText xml:space="preserve"> PAGE   \* MERGEFORMAT </w:instrText>
                        </w:r>
                        <w:r>
                          <w:fldChar w:fldCharType="separate"/>
                        </w:r>
                        <w:r>
                          <w:rPr>
                            <w:lang w:val="zh-CN"/>
                          </w:rPr>
                          <w:t xml:space="preserve">33</w:t>
                        </w:r>
                        <w:r>
                          <w:rPr>
                            <w:lang w:val="zh-CN"/>
                          </w:rPr>
                          <w:fldChar w:fldCharType="end"/>
                        </w:r>
                        <w:r/>
                      </w:p>
                    </w:sdtContent>
                  </w:sdt>
                  <w:p>
                    <w:r/>
                    <w:r/>
                  </w:p>
                </w:txbxContent>
              </v:textbox>
            </v:shape>
          </w:pict>
        </mc:Fallback>
      </mc:AlternateContent>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decimal"/>
      <w:isLgl w:val="false"/>
      <w:suff w:val="nothing"/>
      <w:lvlText w:val="%2．"/>
      <w:lvlJc w:val="left"/>
      <w:pPr/>
      <w:rPr>
        <w:rFonts w:hint="default" w:ascii="宋体" w:hAnsi="宋体" w:eastAsia="宋体" w:cs="宋体"/>
        <w:b/>
        <w:bCs/>
        <w:i w:val="0"/>
        <w:iCs w:val="0"/>
        <w:sz w:val="24"/>
        <w:szCs w:val="24"/>
      </w:rPr>
    </w:lvl>
    <w:lvl w:ilvl="2">
      <w:start w:val="1"/>
      <w:numFmt w:val="decimal"/>
      <w:isLgl w:val="false"/>
      <w:suff w:val="nothing"/>
      <w:lvlText w:val="（%3）"/>
      <w:lvlJc w:val="left"/>
      <w:pPr/>
      <w:rPr>
        <w:rFonts w:hint="default"/>
        <w:sz w:val="24"/>
        <w:szCs w:val="24"/>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9">
    <w:name w:val="Heading 1"/>
    <w:basedOn w:val="688"/>
    <w:next w:val="688"/>
    <w:link w:val="915"/>
    <w:uiPriority w:val="9"/>
    <w:qFormat/>
    <w:pPr>
      <w:keepLines/>
      <w:keepNext/>
      <w:spacing w:before="340" w:after="330" w:line="578" w:lineRule="auto"/>
      <w:outlineLvl w:val="0"/>
    </w:pPr>
    <w:rPr>
      <w:b/>
      <w:bCs/>
      <w:sz w:val="44"/>
      <w:szCs w:val="44"/>
    </w:rPr>
  </w:style>
  <w:style w:type="paragraph" w:styleId="690">
    <w:name w:val="Heading 2"/>
    <w:basedOn w:val="688"/>
    <w:next w:val="688"/>
    <w:link w:val="91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1">
    <w:name w:val="Heading 3"/>
    <w:basedOn w:val="688"/>
    <w:next w:val="688"/>
    <w:link w:val="918"/>
    <w:uiPriority w:val="9"/>
    <w:unhideWhenUsed/>
    <w:qFormat/>
    <w:pPr>
      <w:keepLines/>
      <w:keepNext/>
      <w:spacing w:before="260" w:after="260" w:line="416" w:lineRule="auto"/>
      <w:outlineLvl w:val="2"/>
    </w:pPr>
    <w:rPr>
      <w:b/>
      <w:bCs/>
      <w:sz w:val="32"/>
      <w:szCs w:val="32"/>
    </w:rPr>
  </w:style>
  <w:style w:type="paragraph" w:styleId="692">
    <w:name w:val="Heading 4"/>
    <w:basedOn w:val="688"/>
    <w:next w:val="688"/>
    <w:link w:val="769"/>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70"/>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71"/>
    <w:uiPriority w:val="9"/>
    <w:unhideWhenUsed/>
    <w:qFormat/>
    <w:pPr>
      <w:keepLines/>
      <w:keepNext/>
      <w:spacing w:before="320" w:after="200"/>
      <w:outlineLvl w:val="5"/>
    </w:pPr>
    <w:rPr>
      <w:rFonts w:ascii="Arial" w:hAnsi="Arial" w:eastAsia="Arial" w:cs="Arial"/>
      <w:b/>
      <w:bCs/>
      <w:sz w:val="22"/>
    </w:rPr>
  </w:style>
  <w:style w:type="paragraph" w:styleId="695">
    <w:name w:val="Heading 7"/>
    <w:basedOn w:val="688"/>
    <w:next w:val="688"/>
    <w:link w:val="772"/>
    <w:uiPriority w:val="9"/>
    <w:unhideWhenUsed/>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773"/>
    <w:uiPriority w:val="9"/>
    <w:unhideWhenUsed/>
    <w:qFormat/>
    <w:pPr>
      <w:keepLines/>
      <w:keepNext/>
      <w:spacing w:before="320" w:after="200"/>
      <w:outlineLvl w:val="7"/>
    </w:pPr>
    <w:rPr>
      <w:rFonts w:ascii="Arial" w:hAnsi="Arial" w:eastAsia="Arial" w:cs="Arial"/>
      <w:i/>
      <w:iCs/>
      <w:sz w:val="22"/>
    </w:rPr>
  </w:style>
  <w:style w:type="paragraph" w:styleId="697">
    <w:name w:val="Heading 9"/>
    <w:basedOn w:val="688"/>
    <w:next w:val="688"/>
    <w:link w:val="774"/>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正文文本1"/>
    <w:basedOn w:val="688"/>
    <w:next w:val="701"/>
    <w:uiPriority w:val="99"/>
    <w:qFormat/>
    <w:rPr>
      <w:rFonts w:ascii="楷体_GB2312" w:hAnsi="Arial" w:eastAsia="楷体_GB2312"/>
      <w:sz w:val="28"/>
      <w:szCs w:val="20"/>
      <w:lang w:val="en-US" w:eastAsia="en-US"/>
    </w:rPr>
  </w:style>
  <w:style w:type="paragraph" w:styleId="701" w:customStyle="1">
    <w:name w:val="正文首行缩进1"/>
    <w:basedOn w:val="700"/>
    <w:next w:val="688"/>
    <w:uiPriority w:val="0"/>
    <w:qFormat/>
    <w:pPr>
      <w:ind w:firstLine="200"/>
      <w:spacing w:line="360" w:lineRule="auto"/>
    </w:pPr>
    <w:rPr>
      <w:sz w:val="24"/>
      <w:lang w:val="en-US" w:eastAsia="en-US"/>
    </w:rPr>
  </w:style>
  <w:style w:type="paragraph" w:styleId="702">
    <w:name w:val="toc 7"/>
    <w:basedOn w:val="688"/>
    <w:next w:val="688"/>
    <w:uiPriority w:val="39"/>
    <w:unhideWhenUsed/>
    <w:qFormat/>
    <w:pPr>
      <w:ind w:left="1701"/>
      <w:spacing w:after="57"/>
    </w:pPr>
  </w:style>
  <w:style w:type="paragraph" w:styleId="703">
    <w:name w:val="Normal Indent"/>
    <w:basedOn w:val="688"/>
    <w:uiPriority w:val="99"/>
    <w:qFormat/>
    <w:pPr>
      <w:ind w:firstLine="420"/>
    </w:pPr>
    <w:rPr>
      <w:sz w:val="24"/>
      <w:szCs w:val="20"/>
    </w:rPr>
  </w:style>
  <w:style w:type="paragraph" w:styleId="704">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Document Map"/>
    <w:basedOn w:val="688"/>
    <w:link w:val="916"/>
    <w:uiPriority w:val="99"/>
    <w:semiHidden/>
    <w:unhideWhenUsed/>
    <w:qFormat/>
    <w:rPr>
      <w:rFonts w:ascii="宋体" w:eastAsia="宋体"/>
      <w:sz w:val="18"/>
      <w:szCs w:val="18"/>
    </w:rPr>
  </w:style>
  <w:style w:type="paragraph" w:styleId="706">
    <w:name w:val="annotation text"/>
    <w:basedOn w:val="688"/>
    <w:link w:val="920"/>
    <w:uiPriority w:val="0"/>
    <w:qFormat/>
    <w:pPr>
      <w:ind w:firstLine="922"/>
      <w:jc w:val="left"/>
      <w:spacing w:line="360" w:lineRule="auto"/>
    </w:pPr>
    <w:rPr>
      <w:rFonts w:ascii="Times New Roman" w:hAnsi="Times New Roman" w:eastAsia="宋体" w:cs="Times New Roman"/>
      <w:szCs w:val="24"/>
    </w:rPr>
  </w:style>
  <w:style w:type="paragraph" w:styleId="707">
    <w:name w:val="Body Text"/>
    <w:basedOn w:val="688"/>
    <w:next w:val="688"/>
    <w:uiPriority w:val="99"/>
    <w:unhideWhenUsed/>
    <w:qFormat/>
    <w:pPr>
      <w:spacing w:after="120"/>
    </w:pPr>
  </w:style>
  <w:style w:type="paragraph" w:styleId="708">
    <w:name w:val="toc 5"/>
    <w:basedOn w:val="688"/>
    <w:next w:val="688"/>
    <w:uiPriority w:val="39"/>
    <w:unhideWhenUsed/>
    <w:qFormat/>
    <w:pPr>
      <w:ind w:left="1134"/>
      <w:spacing w:after="57"/>
    </w:pPr>
  </w:style>
  <w:style w:type="paragraph" w:styleId="709">
    <w:name w:val="toc 3"/>
    <w:basedOn w:val="688"/>
    <w:next w:val="688"/>
    <w:uiPriority w:val="39"/>
    <w:unhideWhenUsed/>
    <w:qFormat/>
    <w:pPr>
      <w:ind w:left="567"/>
      <w:spacing w:after="57"/>
    </w:pPr>
  </w:style>
  <w:style w:type="paragraph" w:styleId="710">
    <w:name w:val="Plain Text"/>
    <w:basedOn w:val="688"/>
    <w:link w:val="924"/>
    <w:uiPriority w:val="0"/>
    <w:qFormat/>
    <w:rPr>
      <w:rFonts w:ascii="宋体" w:hAnsi="Courier New" w:eastAsia="宋体" w:cs="Times New Roman"/>
      <w:szCs w:val="20"/>
    </w:rPr>
  </w:style>
  <w:style w:type="paragraph" w:styleId="711">
    <w:name w:val="toc 8"/>
    <w:basedOn w:val="688"/>
    <w:next w:val="688"/>
    <w:uiPriority w:val="39"/>
    <w:unhideWhenUsed/>
    <w:qFormat/>
    <w:pPr>
      <w:ind w:left="1984"/>
      <w:spacing w:after="57"/>
    </w:pPr>
  </w:style>
  <w:style w:type="paragraph" w:styleId="712">
    <w:name w:val="Date"/>
    <w:basedOn w:val="688"/>
    <w:next w:val="688"/>
    <w:link w:val="919"/>
    <w:uiPriority w:val="99"/>
    <w:semiHidden/>
    <w:unhideWhenUsed/>
    <w:qFormat/>
    <w:pPr>
      <w:ind w:left="100"/>
    </w:pPr>
  </w:style>
  <w:style w:type="paragraph" w:styleId="713">
    <w:name w:val="endnote text"/>
    <w:basedOn w:val="688"/>
    <w:link w:val="911"/>
    <w:uiPriority w:val="99"/>
    <w:semiHidden/>
    <w:unhideWhenUsed/>
    <w:qFormat/>
    <w:rPr>
      <w:sz w:val="20"/>
    </w:rPr>
  </w:style>
  <w:style w:type="paragraph" w:styleId="714">
    <w:name w:val="Balloon Text"/>
    <w:basedOn w:val="688"/>
    <w:link w:val="921"/>
    <w:uiPriority w:val="99"/>
    <w:semiHidden/>
    <w:unhideWhenUsed/>
    <w:qFormat/>
    <w:rPr>
      <w:sz w:val="18"/>
      <w:szCs w:val="18"/>
    </w:rPr>
  </w:style>
  <w:style w:type="paragraph" w:styleId="715">
    <w:name w:val="Footer"/>
    <w:basedOn w:val="688"/>
    <w:link w:val="914"/>
    <w:uiPriority w:val="99"/>
    <w:unhideWhenUsed/>
    <w:qFormat/>
    <w:pPr>
      <w:jc w:val="left"/>
      <w:tabs>
        <w:tab w:val="center" w:pos="4153" w:leader="none"/>
        <w:tab w:val="right" w:pos="8306" w:leader="none"/>
      </w:tabs>
    </w:pPr>
    <w:rPr>
      <w:sz w:val="18"/>
      <w:szCs w:val="18"/>
    </w:rPr>
  </w:style>
  <w:style w:type="paragraph" w:styleId="716">
    <w:name w:val="Header"/>
    <w:basedOn w:val="688"/>
    <w:link w:val="9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8"/>
    <w:next w:val="688"/>
    <w:uiPriority w:val="39"/>
    <w:unhideWhenUsed/>
    <w:qFormat/>
    <w:pPr>
      <w:jc w:val="center"/>
      <w:tabs>
        <w:tab w:val="right" w:pos="8296" w:leader="dot"/>
      </w:tabs>
    </w:pPr>
    <w:rPr>
      <w:rFonts w:ascii="黑体" w:hAnsi="黑体" w:eastAsia="黑体"/>
      <w:sz w:val="36"/>
      <w:szCs w:val="32"/>
    </w:rPr>
  </w:style>
  <w:style w:type="paragraph" w:styleId="718">
    <w:name w:val="toc 4"/>
    <w:basedOn w:val="688"/>
    <w:next w:val="688"/>
    <w:uiPriority w:val="39"/>
    <w:unhideWhenUsed/>
    <w:qFormat/>
    <w:pPr>
      <w:ind w:left="850"/>
      <w:spacing w:after="57"/>
    </w:pPr>
  </w:style>
  <w:style w:type="paragraph" w:styleId="719">
    <w:name w:val="Subtitle"/>
    <w:basedOn w:val="688"/>
    <w:next w:val="688"/>
    <w:link w:val="777"/>
    <w:uiPriority w:val="11"/>
    <w:qFormat/>
    <w:pPr>
      <w:spacing w:before="200" w:after="200"/>
    </w:pPr>
    <w:rPr>
      <w:sz w:val="24"/>
      <w:szCs w:val="24"/>
    </w:rPr>
  </w:style>
  <w:style w:type="paragraph" w:styleId="720">
    <w:name w:val="footnote text"/>
    <w:basedOn w:val="688"/>
    <w:link w:val="910"/>
    <w:uiPriority w:val="99"/>
    <w:semiHidden/>
    <w:unhideWhenUsed/>
    <w:qFormat/>
    <w:pPr>
      <w:spacing w:after="40"/>
    </w:pPr>
    <w:rPr>
      <w:sz w:val="18"/>
    </w:rPr>
  </w:style>
  <w:style w:type="paragraph" w:styleId="721">
    <w:name w:val="toc 6"/>
    <w:basedOn w:val="688"/>
    <w:next w:val="688"/>
    <w:uiPriority w:val="39"/>
    <w:unhideWhenUsed/>
    <w:qFormat/>
    <w:pPr>
      <w:ind w:left="1417"/>
      <w:spacing w:after="57"/>
    </w:pPr>
  </w:style>
  <w:style w:type="paragraph" w:styleId="722">
    <w:name w:val="table of figures"/>
    <w:basedOn w:val="688"/>
    <w:next w:val="688"/>
    <w:uiPriority w:val="99"/>
    <w:unhideWhenUsed/>
    <w:qFormat/>
  </w:style>
  <w:style w:type="paragraph" w:styleId="723">
    <w:name w:val="toc 2"/>
    <w:basedOn w:val="688"/>
    <w:next w:val="688"/>
    <w:uiPriority w:val="39"/>
    <w:qFormat/>
    <w:pPr>
      <w:tabs>
        <w:tab w:val="right" w:pos="9060" w:leader="dot"/>
      </w:tabs>
    </w:pPr>
    <w:rPr>
      <w:rFonts w:ascii="宋体" w:hAnsi="宋体"/>
      <w:b/>
      <w:bCs/>
    </w:rPr>
  </w:style>
  <w:style w:type="paragraph" w:styleId="724">
    <w:name w:val="toc 9"/>
    <w:basedOn w:val="688"/>
    <w:next w:val="688"/>
    <w:uiPriority w:val="39"/>
    <w:unhideWhenUsed/>
    <w:qFormat/>
    <w:pPr>
      <w:ind w:left="2268"/>
      <w:spacing w:after="57"/>
    </w:pPr>
  </w:style>
  <w:style w:type="paragraph" w:styleId="725">
    <w:name w:val="HTML Preformatted"/>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26">
    <w:name w:val="Normal (Web)"/>
    <w:basedOn w:val="688"/>
    <w:uiPriority w:val="0"/>
    <w:qFormat/>
    <w:pPr>
      <w:jc w:val="left"/>
      <w:spacing w:beforeAutospacing="1" w:afterAutospacing="1"/>
    </w:pPr>
    <w:rPr>
      <w:rFonts w:cs="Times New Roman"/>
      <w:sz w:val="24"/>
    </w:rPr>
  </w:style>
  <w:style w:type="paragraph" w:styleId="727">
    <w:name w:val="Title"/>
    <w:basedOn w:val="688"/>
    <w:next w:val="688"/>
    <w:link w:val="776"/>
    <w:uiPriority w:val="10"/>
    <w:qFormat/>
    <w:pPr>
      <w:contextualSpacing/>
      <w:spacing w:before="300" w:after="200"/>
    </w:pPr>
    <w:rPr>
      <w:sz w:val="48"/>
      <w:szCs w:val="48"/>
    </w:rPr>
  </w:style>
  <w:style w:type="paragraph" w:styleId="728">
    <w:name w:val="annotation subject"/>
    <w:basedOn w:val="706"/>
    <w:next w:val="706"/>
    <w:link w:val="930"/>
    <w:uiPriority w:val="99"/>
    <w:semiHidden/>
    <w:unhideWhenUsed/>
    <w:qFormat/>
    <w:pPr>
      <w:ind w:firstLine="0"/>
      <w:spacing w:line="240" w:lineRule="auto"/>
    </w:pPr>
    <w:rPr>
      <w:rFonts w:asciiTheme="minorHAnsi" w:hAnsiTheme="minorHAnsi" w:eastAsiaTheme="minorEastAsia" w:cstheme="minorBidi"/>
      <w:b/>
      <w:bCs/>
      <w:szCs w:val="22"/>
    </w:rPr>
  </w:style>
  <w:style w:type="table" w:styleId="729">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0">
    <w:name w:val="endnote reference"/>
    <w:basedOn w:val="698"/>
    <w:uiPriority w:val="99"/>
    <w:semiHidden/>
    <w:unhideWhenUsed/>
    <w:qFormat/>
    <w:rPr>
      <w:vertAlign w:val="superscript"/>
    </w:rPr>
  </w:style>
  <w:style w:type="character" w:styleId="731">
    <w:name w:val="Hyperlink"/>
    <w:uiPriority w:val="99"/>
    <w:qFormat/>
    <w:rPr>
      <w:color w:val="0000ff"/>
      <w:u w:val="none"/>
    </w:rPr>
  </w:style>
  <w:style w:type="character" w:styleId="732">
    <w:name w:val="annotation reference"/>
    <w:uiPriority w:val="0"/>
    <w:qFormat/>
    <w:rPr>
      <w:sz w:val="21"/>
      <w:szCs w:val="21"/>
    </w:rPr>
  </w:style>
  <w:style w:type="character" w:styleId="733">
    <w:name w:val="footnote reference"/>
    <w:basedOn w:val="698"/>
    <w:uiPriority w:val="99"/>
    <w:unhideWhenUsed/>
    <w:qFormat/>
    <w:rPr>
      <w:vertAlign w:val="superscript"/>
    </w:rPr>
  </w:style>
  <w:style w:type="character" w:styleId="734" w:customStyle="1">
    <w:name w:val="Heading 4 Char"/>
    <w:basedOn w:val="698"/>
    <w:uiPriority w:val="9"/>
    <w:qFormat/>
    <w:rPr>
      <w:rFonts w:ascii="Arial" w:hAnsi="Arial" w:eastAsia="Arial" w:cs="Arial"/>
      <w:b/>
      <w:bCs/>
      <w:sz w:val="26"/>
      <w:szCs w:val="26"/>
    </w:rPr>
  </w:style>
  <w:style w:type="character" w:styleId="735" w:customStyle="1">
    <w:name w:val="Heading 5 Char"/>
    <w:basedOn w:val="698"/>
    <w:uiPriority w:val="9"/>
    <w:qFormat/>
    <w:rPr>
      <w:rFonts w:ascii="Arial" w:hAnsi="Arial" w:eastAsia="Arial" w:cs="Arial"/>
      <w:b/>
      <w:bCs/>
      <w:sz w:val="24"/>
      <w:szCs w:val="24"/>
    </w:rPr>
  </w:style>
  <w:style w:type="character" w:styleId="736" w:customStyle="1">
    <w:name w:val="Heading 6 Char"/>
    <w:basedOn w:val="698"/>
    <w:uiPriority w:val="9"/>
    <w:qFormat/>
    <w:rPr>
      <w:rFonts w:ascii="Arial" w:hAnsi="Arial" w:eastAsia="Arial" w:cs="Arial"/>
      <w:b/>
      <w:bCs/>
      <w:sz w:val="22"/>
      <w:szCs w:val="22"/>
    </w:rPr>
  </w:style>
  <w:style w:type="character" w:styleId="737" w:customStyle="1">
    <w:name w:val="Heading 7 Char"/>
    <w:basedOn w:val="698"/>
    <w:uiPriority w:val="9"/>
    <w:qFormat/>
    <w:rPr>
      <w:rFonts w:ascii="Arial" w:hAnsi="Arial" w:eastAsia="Arial" w:cs="Arial"/>
      <w:b/>
      <w:bCs/>
      <w:i/>
      <w:iCs/>
      <w:sz w:val="22"/>
      <w:szCs w:val="22"/>
    </w:rPr>
  </w:style>
  <w:style w:type="character" w:styleId="738" w:customStyle="1">
    <w:name w:val="Heading 8 Char"/>
    <w:basedOn w:val="698"/>
    <w:uiPriority w:val="9"/>
    <w:qFormat/>
    <w:rPr>
      <w:rFonts w:ascii="Arial" w:hAnsi="Arial" w:eastAsia="Arial" w:cs="Arial"/>
      <w:i/>
      <w:iCs/>
      <w:sz w:val="22"/>
      <w:szCs w:val="22"/>
    </w:rPr>
  </w:style>
  <w:style w:type="character" w:styleId="739" w:customStyle="1">
    <w:name w:val="Heading 9 Char"/>
    <w:basedOn w:val="698"/>
    <w:uiPriority w:val="9"/>
    <w:qFormat/>
    <w:rPr>
      <w:rFonts w:ascii="Arial" w:hAnsi="Arial" w:eastAsia="Arial" w:cs="Arial"/>
      <w:i/>
      <w:iCs/>
      <w:sz w:val="21"/>
      <w:szCs w:val="21"/>
    </w:rPr>
  </w:style>
  <w:style w:type="character" w:styleId="740" w:customStyle="1">
    <w:name w:val="Title Char"/>
    <w:basedOn w:val="698"/>
    <w:uiPriority w:val="10"/>
    <w:qFormat/>
    <w:rPr>
      <w:sz w:val="48"/>
      <w:szCs w:val="48"/>
    </w:rPr>
  </w:style>
  <w:style w:type="character" w:styleId="741" w:customStyle="1">
    <w:name w:val="Subtitle Char"/>
    <w:basedOn w:val="698"/>
    <w:uiPriority w:val="11"/>
    <w:qFormat/>
    <w:rPr>
      <w:sz w:val="24"/>
      <w:szCs w:val="24"/>
    </w:rPr>
  </w:style>
  <w:style w:type="character" w:styleId="742" w:customStyle="1">
    <w:name w:val="Quote Char"/>
    <w:uiPriority w:val="29"/>
    <w:qFormat/>
    <w:rPr>
      <w:i/>
    </w:rPr>
  </w:style>
  <w:style w:type="character" w:styleId="743" w:customStyle="1">
    <w:name w:val="Intense Quote Char"/>
    <w:uiPriority w:val="30"/>
    <w:qFormat/>
    <w:rPr>
      <w:i/>
    </w:rPr>
  </w:style>
  <w:style w:type="table" w:styleId="744"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Heading"/>
    <w:uiPriority w:val="39"/>
    <w:unhideWhenUsed/>
    <w:qFormat/>
    <w:rPr>
      <w:rFonts w:hint="default" w:ascii="Times New Roman" w:hAnsi="Times New Roman" w:eastAsia="宋体" w:cs="Times New Roman"/>
    </w:rPr>
  </w:style>
  <w:style w:type="character" w:styleId="766" w:customStyle="1">
    <w:name w:val="Heading 1 Char"/>
    <w:basedOn w:val="698"/>
    <w:uiPriority w:val="9"/>
    <w:qFormat/>
    <w:rPr>
      <w:rFonts w:ascii="Arial" w:hAnsi="Arial" w:eastAsia="Arial" w:cs="Arial"/>
      <w:sz w:val="40"/>
      <w:szCs w:val="40"/>
    </w:rPr>
  </w:style>
  <w:style w:type="character" w:styleId="767" w:customStyle="1">
    <w:name w:val="Heading 2 Char"/>
    <w:basedOn w:val="698"/>
    <w:uiPriority w:val="9"/>
    <w:qFormat/>
    <w:rPr>
      <w:rFonts w:ascii="Arial" w:hAnsi="Arial" w:eastAsia="Arial" w:cs="Arial"/>
      <w:sz w:val="34"/>
    </w:rPr>
  </w:style>
  <w:style w:type="character" w:styleId="768" w:customStyle="1">
    <w:name w:val="Heading 3 Char"/>
    <w:basedOn w:val="698"/>
    <w:uiPriority w:val="9"/>
    <w:qFormat/>
    <w:rPr>
      <w:rFonts w:ascii="Arial" w:hAnsi="Arial" w:eastAsia="Arial" w:cs="Arial"/>
      <w:sz w:val="30"/>
      <w:szCs w:val="30"/>
    </w:rPr>
  </w:style>
  <w:style w:type="character" w:styleId="769" w:customStyle="1">
    <w:name w:val="标题 4 字符"/>
    <w:basedOn w:val="698"/>
    <w:link w:val="692"/>
    <w:uiPriority w:val="9"/>
    <w:qFormat/>
    <w:rPr>
      <w:rFonts w:ascii="Arial" w:hAnsi="Arial" w:eastAsia="Arial" w:cs="Arial"/>
      <w:b/>
      <w:bCs/>
      <w:sz w:val="26"/>
      <w:szCs w:val="26"/>
    </w:rPr>
  </w:style>
  <w:style w:type="character" w:styleId="770" w:customStyle="1">
    <w:name w:val="标题 5 字符"/>
    <w:basedOn w:val="698"/>
    <w:link w:val="693"/>
    <w:uiPriority w:val="9"/>
    <w:qFormat/>
    <w:rPr>
      <w:rFonts w:ascii="Arial" w:hAnsi="Arial" w:eastAsia="Arial" w:cs="Arial"/>
      <w:b/>
      <w:bCs/>
      <w:sz w:val="24"/>
      <w:szCs w:val="24"/>
    </w:rPr>
  </w:style>
  <w:style w:type="character" w:styleId="771" w:customStyle="1">
    <w:name w:val="标题 6 字符"/>
    <w:basedOn w:val="698"/>
    <w:link w:val="694"/>
    <w:uiPriority w:val="9"/>
    <w:qFormat/>
    <w:rPr>
      <w:rFonts w:ascii="Arial" w:hAnsi="Arial" w:eastAsia="Arial" w:cs="Arial"/>
      <w:b/>
      <w:bCs/>
      <w:sz w:val="22"/>
      <w:szCs w:val="22"/>
    </w:rPr>
  </w:style>
  <w:style w:type="character" w:styleId="772" w:customStyle="1">
    <w:name w:val="标题 7 字符"/>
    <w:basedOn w:val="698"/>
    <w:link w:val="695"/>
    <w:uiPriority w:val="9"/>
    <w:qFormat/>
    <w:rPr>
      <w:rFonts w:ascii="Arial" w:hAnsi="Arial" w:eastAsia="Arial" w:cs="Arial"/>
      <w:b/>
      <w:bCs/>
      <w:i/>
      <w:iCs/>
      <w:sz w:val="22"/>
      <w:szCs w:val="22"/>
    </w:rPr>
  </w:style>
  <w:style w:type="character" w:styleId="773" w:customStyle="1">
    <w:name w:val="标题 8 字符"/>
    <w:basedOn w:val="698"/>
    <w:link w:val="696"/>
    <w:uiPriority w:val="9"/>
    <w:qFormat/>
    <w:rPr>
      <w:rFonts w:ascii="Arial" w:hAnsi="Arial" w:eastAsia="Arial" w:cs="Arial"/>
      <w:i/>
      <w:iCs/>
      <w:sz w:val="22"/>
      <w:szCs w:val="22"/>
    </w:rPr>
  </w:style>
  <w:style w:type="character" w:styleId="774" w:customStyle="1">
    <w:name w:val="标题 9 字符"/>
    <w:basedOn w:val="698"/>
    <w:link w:val="697"/>
    <w:uiPriority w:val="9"/>
    <w:qFormat/>
    <w:rPr>
      <w:rFonts w:ascii="Arial" w:hAnsi="Arial" w:eastAsia="Arial" w:cs="Arial"/>
      <w:i/>
      <w:iCs/>
      <w:sz w:val="21"/>
      <w:szCs w:val="21"/>
    </w:rPr>
  </w:style>
  <w:style w:type="paragraph" w:styleId="775">
    <w:name w:val="No Spacing"/>
    <w:uiPriority w:val="1"/>
    <w:qFormat/>
    <w:rPr>
      <w:rFonts w:hint="default" w:ascii="Times New Roman" w:hAnsi="Times New Roman" w:eastAsia="宋体" w:cs="Times New Roman"/>
      <w:lang w:val="en-US" w:eastAsia="zh-CN" w:bidi="ar-SA"/>
    </w:rPr>
  </w:style>
  <w:style w:type="character" w:styleId="776" w:customStyle="1">
    <w:name w:val="标题 字符"/>
    <w:basedOn w:val="698"/>
    <w:link w:val="727"/>
    <w:uiPriority w:val="10"/>
    <w:qFormat/>
    <w:rPr>
      <w:sz w:val="48"/>
      <w:szCs w:val="48"/>
    </w:rPr>
  </w:style>
  <w:style w:type="character" w:styleId="777" w:customStyle="1">
    <w:name w:val="副标题 字符"/>
    <w:basedOn w:val="698"/>
    <w:link w:val="719"/>
    <w:uiPriority w:val="11"/>
    <w:qFormat/>
    <w:rPr>
      <w:sz w:val="24"/>
      <w:szCs w:val="24"/>
    </w:rPr>
  </w:style>
  <w:style w:type="paragraph" w:styleId="778">
    <w:name w:val="Quote"/>
    <w:basedOn w:val="688"/>
    <w:next w:val="688"/>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688"/>
    <w:next w:val="688"/>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Header Char"/>
    <w:basedOn w:val="698"/>
    <w:uiPriority w:val="99"/>
    <w:qFormat/>
  </w:style>
  <w:style w:type="character" w:styleId="783" w:customStyle="1">
    <w:name w:val="Footer Char"/>
    <w:basedOn w:val="698"/>
    <w:uiPriority w:val="99"/>
    <w:qFormat/>
  </w:style>
  <w:style w:type="character" w:styleId="784" w:customStyle="1">
    <w:name w:val="Caption Char"/>
    <w:uiPriority w:val="99"/>
    <w:qFormat/>
  </w:style>
  <w:style w:type="table" w:styleId="785"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6"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6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6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6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6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6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6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6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6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6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6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6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6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6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6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6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6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6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6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69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basedOn w:val="69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basedOn w:val="69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basedOn w:val="69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basedOn w:val="69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basedOn w:val="69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69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6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69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basedOn w:val="6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69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basedOn w:val="69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69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69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69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69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69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69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basedOn w:val="6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69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69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69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69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69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69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69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basedOn w:val="69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basedOn w:val="69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basedOn w:val="69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basedOn w:val="69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basedOn w:val="69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69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basedOn w:val="6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69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6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69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69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69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basedOn w:val="69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basedOn w:val="69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basedOn w:val="69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basedOn w:val="69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basedOn w:val="69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69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69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69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69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69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69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basedOn w:val="6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69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basedOn w:val="69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basedOn w:val="69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basedOn w:val="69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basedOn w:val="69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basedOn w:val="69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basedOn w:val="6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69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69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69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69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69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69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69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basedOn w:val="69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basedOn w:val="69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basedOn w:val="69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basedOn w:val="69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basedOn w:val="69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6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basedOn w:val="6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basedOn w:val="6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basedOn w:val="6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basedOn w:val="6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basedOn w:val="6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字符"/>
    <w:link w:val="720"/>
    <w:uiPriority w:val="99"/>
    <w:qFormat/>
    <w:rPr>
      <w:sz w:val="18"/>
    </w:rPr>
  </w:style>
  <w:style w:type="character" w:styleId="911" w:customStyle="1">
    <w:name w:val="尾注文本 字符"/>
    <w:link w:val="713"/>
    <w:uiPriority w:val="99"/>
    <w:qFormat/>
    <w:rPr>
      <w:sz w:val="20"/>
    </w:rPr>
  </w:style>
  <w:style w:type="paragraph" w:styleId="912" w:customStyle="1">
    <w:name w:val="TOC 标题1"/>
    <w:uiPriority w:val="39"/>
    <w:unhideWhenUsed/>
    <w:qFormat/>
    <w:rPr>
      <w:rFonts w:hint="default" w:ascii="Times New Roman" w:hAnsi="Times New Roman" w:eastAsia="宋体" w:cs="Times New Roman"/>
      <w:lang w:val="en-US" w:eastAsia="zh-CN" w:bidi="ar-SA"/>
    </w:rPr>
  </w:style>
  <w:style w:type="character" w:styleId="913" w:customStyle="1">
    <w:name w:val="页眉 字符"/>
    <w:basedOn w:val="698"/>
    <w:link w:val="716"/>
    <w:uiPriority w:val="99"/>
    <w:qFormat/>
    <w:rPr>
      <w:sz w:val="18"/>
      <w:szCs w:val="18"/>
    </w:rPr>
  </w:style>
  <w:style w:type="character" w:styleId="914" w:customStyle="1">
    <w:name w:val="页脚 字符"/>
    <w:basedOn w:val="698"/>
    <w:link w:val="715"/>
    <w:uiPriority w:val="99"/>
    <w:qFormat/>
    <w:rPr>
      <w:sz w:val="18"/>
      <w:szCs w:val="18"/>
    </w:rPr>
  </w:style>
  <w:style w:type="character" w:styleId="915" w:customStyle="1">
    <w:name w:val="标题 1 字符"/>
    <w:basedOn w:val="698"/>
    <w:link w:val="689"/>
    <w:uiPriority w:val="9"/>
    <w:qFormat/>
    <w:rPr>
      <w:b/>
      <w:bCs/>
      <w:sz w:val="44"/>
      <w:szCs w:val="44"/>
    </w:rPr>
  </w:style>
  <w:style w:type="character" w:styleId="916" w:customStyle="1">
    <w:name w:val="文档结构图 字符"/>
    <w:basedOn w:val="698"/>
    <w:link w:val="705"/>
    <w:uiPriority w:val="99"/>
    <w:semiHidden/>
    <w:qFormat/>
    <w:rPr>
      <w:rFonts w:ascii="宋体" w:eastAsia="宋体"/>
      <w:sz w:val="18"/>
      <w:szCs w:val="18"/>
    </w:rPr>
  </w:style>
  <w:style w:type="character" w:styleId="917" w:customStyle="1">
    <w:name w:val="标题 2 字符"/>
    <w:basedOn w:val="698"/>
    <w:link w:val="690"/>
    <w:uiPriority w:val="9"/>
    <w:qFormat/>
    <w:rPr>
      <w:rFonts w:asciiTheme="majorHAnsi" w:hAnsiTheme="majorHAnsi" w:eastAsiaTheme="majorEastAsia" w:cstheme="majorBidi"/>
      <w:b/>
      <w:bCs/>
      <w:sz w:val="32"/>
      <w:szCs w:val="32"/>
    </w:rPr>
  </w:style>
  <w:style w:type="character" w:styleId="918" w:customStyle="1">
    <w:name w:val="标题 3 字符"/>
    <w:basedOn w:val="698"/>
    <w:link w:val="691"/>
    <w:uiPriority w:val="9"/>
    <w:qFormat/>
    <w:rPr>
      <w:b/>
      <w:bCs/>
      <w:sz w:val="32"/>
      <w:szCs w:val="32"/>
    </w:rPr>
  </w:style>
  <w:style w:type="character" w:styleId="919" w:customStyle="1">
    <w:name w:val="日期 字符"/>
    <w:basedOn w:val="698"/>
    <w:link w:val="712"/>
    <w:uiPriority w:val="99"/>
    <w:semiHidden/>
    <w:qFormat/>
  </w:style>
  <w:style w:type="character" w:styleId="920" w:customStyle="1">
    <w:name w:val="批注文字 字符"/>
    <w:basedOn w:val="698"/>
    <w:link w:val="706"/>
    <w:uiPriority w:val="0"/>
    <w:qFormat/>
    <w:rPr>
      <w:rFonts w:ascii="Times New Roman" w:hAnsi="Times New Roman" w:eastAsia="宋体" w:cs="Times New Roman"/>
      <w:szCs w:val="24"/>
    </w:rPr>
  </w:style>
  <w:style w:type="character" w:styleId="921" w:customStyle="1">
    <w:name w:val="批注框文本 字符"/>
    <w:basedOn w:val="698"/>
    <w:link w:val="714"/>
    <w:uiPriority w:val="99"/>
    <w:semiHidden/>
    <w:qFormat/>
    <w:rPr>
      <w:sz w:val="18"/>
      <w:szCs w:val="18"/>
    </w:rPr>
  </w:style>
  <w:style w:type="paragraph" w:styleId="922" w:customStyle="1">
    <w:name w:val="Default"/>
    <w:link w:val="923"/>
    <w:uiPriority w:val="99"/>
    <w:qFormat/>
    <w:pPr>
      <w:widowControl w:val="off"/>
    </w:pPr>
    <w:rPr>
      <w:rFonts w:hint="default" w:ascii="MS Mincho" w:hAnsi="Calibri" w:eastAsia="宋体" w:cs="Times New Roman"/>
      <w:color w:val="000000"/>
      <w:sz w:val="21"/>
      <w:szCs w:val="24"/>
      <w:lang w:val="en-US" w:eastAsia="zh-CN" w:bidi="ar-SA"/>
    </w:rPr>
  </w:style>
  <w:style w:type="character" w:styleId="923" w:customStyle="1">
    <w:name w:val="Default Char"/>
    <w:link w:val="922"/>
    <w:uiPriority w:val="99"/>
    <w:qFormat/>
    <w:rPr>
      <w:rFonts w:ascii="MS Mincho" w:hAnsi="Calibri" w:eastAsia="宋体" w:cs="Times New Roman"/>
      <w:color w:val="000000"/>
      <w:szCs w:val="24"/>
    </w:rPr>
  </w:style>
  <w:style w:type="character" w:styleId="924" w:customStyle="1">
    <w:name w:val="纯文本 字符"/>
    <w:basedOn w:val="698"/>
    <w:link w:val="710"/>
    <w:uiPriority w:val="0"/>
    <w:qFormat/>
    <w:rPr>
      <w:rFonts w:ascii="宋体" w:hAnsi="Courier New" w:eastAsia="宋体" w:cs="Times New Roman"/>
      <w:szCs w:val="20"/>
    </w:rPr>
  </w:style>
  <w:style w:type="paragraph" w:styleId="925">
    <w:name w:val="List Paragraph"/>
    <w:basedOn w:val="688"/>
    <w:uiPriority w:val="34"/>
    <w:qFormat/>
    <w:pPr>
      <w:contextualSpacing/>
      <w:ind w:left="720"/>
    </w:pPr>
  </w:style>
  <w:style w:type="paragraph" w:styleId="926" w:customStyle="1">
    <w:name w:val="普通正文"/>
    <w:basedOn w:val="688"/>
    <w:uiPriority w:val="0"/>
    <w:qFormat/>
    <w:pPr>
      <w:ind w:firstLine="480"/>
      <w:jc w:val="left"/>
      <w:spacing w:before="120" w:after="120" w:line="360" w:lineRule="auto"/>
    </w:pPr>
    <w:rPr>
      <w:rFonts w:ascii="Arial" w:hAnsi="Arial" w:cs="Times New Roman"/>
      <w:sz w:val="24"/>
      <w:szCs w:val="24"/>
    </w:rPr>
  </w:style>
  <w:style w:type="paragraph" w:styleId="927" w:customStyle="1">
    <w:name w:val="HTML 预设格式1"/>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28" w:customStyle="1">
    <w:name w:val="Table Paragraph"/>
    <w:basedOn w:val="688"/>
    <w:uiPriority w:val="1"/>
    <w:qFormat/>
    <w:rPr>
      <w:rFonts w:ascii="宋体" w:hAnsi="宋体" w:cs="宋体"/>
      <w:lang w:val="zh-CN" w:bidi="zh-CN"/>
    </w:rPr>
  </w:style>
  <w:style w:type="paragraph" w:styleId="929" w:customStyle="1">
    <w:name w:val="正文1"/>
    <w:basedOn w:val="703"/>
    <w:uiPriority w:val="99"/>
    <w:qFormat/>
    <w:pPr>
      <w:ind w:firstLine="480"/>
      <w:spacing w:line="500" w:lineRule="exact"/>
    </w:pPr>
    <w:rPr>
      <w:rFonts w:hAnsi="新宋体"/>
      <w:color w:val="ff0000"/>
    </w:rPr>
  </w:style>
  <w:style w:type="character" w:styleId="930" w:customStyle="1">
    <w:name w:val="批注主题 字符"/>
    <w:basedOn w:val="920"/>
    <w:link w:val="728"/>
    <w:uiPriority w:val="99"/>
    <w:semiHidden/>
    <w:qFormat/>
    <w:rPr>
      <w:rFonts w:asciiTheme="minorHAnsi" w:hAnsiTheme="minorHAnsi" w:eastAsiaTheme="minorEastAsia" w:cstheme="minorBidi"/>
      <w:b/>
      <w:bCs/>
      <w:sz w:val="21"/>
      <w:szCs w:val="22"/>
    </w:rPr>
  </w:style>
  <w:style w:type="table" w:styleId="931" w:customStyle="1">
    <w:name w:val="Table Normal"/>
    <w:uiPriority w:val="0"/>
    <w:semiHidden/>
    <w:unhideWhenUsed/>
    <w:qFormat/>
    <w:tblPr>
      <w:tblCellMar>
        <w:left w:w="0" w:type="dxa"/>
        <w:top w:w="0" w:type="dxa"/>
        <w:right w:w="0" w:type="dxa"/>
        <w:bottom w:w="0" w:type="dxa"/>
      </w:tblCellMar>
    </w:tblPr>
  </w:style>
  <w:style w:type="paragraph" w:styleId="932" w:customStyle="1">
    <w:name w:val="Table Text"/>
    <w:basedOn w:val="688"/>
    <w:uiPriority w:val="0"/>
    <w:semiHidden/>
    <w:qFormat/>
    <w:rPr>
      <w:rFonts w:ascii="宋体" w:hAnsi="宋体" w:eastAsia="宋体" w:cs="宋体"/>
      <w:sz w:val="24"/>
      <w:szCs w:val="24"/>
      <w:lang w:eastAsia="en-US"/>
    </w:rPr>
  </w:style>
  <w:style w:type="paragraph" w:styleId="933" w:customStyle="1">
    <w:name w:val="段"/>
    <w:next w:val="688"/>
    <w:uiPriority w:val="0"/>
    <w:qFormat/>
    <w:pPr>
      <w:ind w:firstLine="200"/>
      <w:jc w:val="both"/>
    </w:pPr>
    <w:rPr>
      <w:rFonts w:ascii="宋体" w:hAnsi="Times New Roman" w:eastAsia="宋体" w:cs="Times New Roman"/>
      <w:sz w:val="21"/>
      <w:szCs w:val="22"/>
      <w:lang w:val="en-US" w:eastAsia="zh-CN" w:bidi="ar-SA"/>
    </w:rPr>
  </w:style>
  <w:style w:type="numbering" w:styleId="67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解书骋</cp:lastModifiedBy>
  <cp:revision>66</cp:revision>
  <dcterms:created xsi:type="dcterms:W3CDTF">2025-06-10T02:24:00Z</dcterms:created>
  <dcterms:modified xsi:type="dcterms:W3CDTF">2025-12-09T03:38:53Z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eyJoZGlkIjoiYTNhYzlkNTZmNjkzMzBkMjcwZTI3ZjVkYTI3MTUyYTMiLCJ1c2VySWQiOiIxMzMxNjA3MzU4In0=</vt:lpwstr>
  </property>
  <property fmtid="{D5CDD505-2E9C-101B-9397-08002B2CF9AE}" pid="3" name="KSOProductBuildVer">
    <vt:lpwstr>2052-12.1.0.23542</vt:lpwstr>
  </property>
  <property fmtid="{D5CDD505-2E9C-101B-9397-08002B2CF9AE}" pid="4" name="ICV">
    <vt:lpwstr>3B88C6A0CECE459292472469343A5821_13</vt:lpwstr>
  </property>
</Properties>
</file>